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2.wmf" ContentType="image/x-wmf"/>
  <Override PartName="/word/media/image1.jpeg" ContentType="image/jpeg"/>
  <Override PartName="/word/media/image3.wmf" ContentType="image/x-wmf"/>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0"/>
        <w:ind w:right="-516" w:hanging="0"/>
        <w:rPr>
          <w:rFonts w:ascii="Times New Roman" w:hAnsi="Times New Roman" w:cs="Times New Roman"/>
          <w:b/>
          <w:b/>
          <w:color w:val="000000"/>
          <w:w w:val="103"/>
          <w:sz w:val="24"/>
          <w:szCs w:val="24"/>
        </w:rPr>
      </w:pPr>
      <w:r>
        <w:rPr>
          <w:rFonts w:cs="Times New Roman" w:ascii="Times New Roman" w:hAnsi="Times New Roman"/>
          <w:b/>
          <w:color w:val="000000"/>
          <w:w w:val="103"/>
          <w:sz w:val="24"/>
          <w:szCs w:val="24"/>
        </w:rPr>
        <w:t>Relatório dos auditores independentes sobre a revisão das informações contábeis intermediárias</w:t>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r>
    </w:p>
    <w:p>
      <w:pPr>
        <w:pStyle w:val="NoSpacing1"/>
        <w:ind w:right="-516" w:hanging="0"/>
        <w:rPr>
          <w:rFonts w:ascii="Times New Roman" w:hAnsi="Times New Roman" w:cs="Times New Roman"/>
          <w:sz w:val="20"/>
          <w:szCs w:val="20"/>
        </w:rPr>
      </w:pPr>
      <w:r>
        <w:rPr>
          <w:rFonts w:cs="Times New Roman" w:ascii="Times New Roman" w:hAnsi="Times New Roman"/>
          <w:sz w:val="20"/>
          <w:szCs w:val="20"/>
        </w:rPr>
        <w:t>À Diretoria e Acionistas da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Companhia Nacional de Abastecimento - CONAB</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ind w:right="-516" w:hanging="0"/>
        <w:jc w:val="both"/>
        <w:rPr>
          <w:rFonts w:ascii="Times New Roman" w:hAnsi="Times New Roman" w:cs="Times New Roman"/>
          <w:sz w:val="20"/>
          <w:szCs w:val="20"/>
        </w:rPr>
      </w:pPr>
      <w:r>
        <w:rPr>
          <w:rFonts w:cs="Times New Roman" w:ascii="Times New Roman" w:hAnsi="Times New Roman"/>
          <w:sz w:val="20"/>
          <w:szCs w:val="20"/>
        </w:rPr>
        <w:t>São Paulo - SP</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Introdução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Revisamos o balanço patrimonial da Companhia Nacional de Abastecimento (“Companhia” ou “CONAB”), em 30 de junho de 2020, e as respectivas demonstrações do resultado, das mutações do patrimônio líquido e dos fluxos de caixa para o trimestre findo naquela data, incluindo o resumo das politicas contábeis significativas e demais notas explicativas. A administração é responsável pela elaboração e apresentação adequada dessas informações intermediárias de acordo com as práticas contábeis adotadas no Brasil. Nossa responsabilidade é a de expressar uma conclusão sobre essas informações intermediárias com base em nossa revisão.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Alcance da revisão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 xml:space="preserve">Conduzimos nossa revisão de acordo com as normas brasileiras e internacionais de revisão de informações intermediárias (NBC TR 2410 - Revisão de Informações Intermediárias Executada pelo Auditor da Entidade e ISRE 2410 - </w:t>
      </w:r>
      <w:r>
        <w:rPr>
          <w:rFonts w:cs="Times New Roman" w:ascii="Times New Roman" w:hAnsi="Times New Roman"/>
          <w:i/>
          <w:sz w:val="20"/>
          <w:szCs w:val="20"/>
        </w:rPr>
        <w:t>Review of Interim Financial Information Performed by the Independent Auditor of the Entity</w:t>
      </w:r>
      <w:r>
        <w:rPr>
          <w:rFonts w:cs="Times New Roman" w:ascii="Times New Roman" w:hAnsi="Times New Roman"/>
          <w:sz w:val="20"/>
          <w:szCs w:val="20"/>
        </w:rPr>
        <w:t>, respectivamente). Uma revisão de informações intermediárias consiste na realização de indagações, principalmente às pessoas responsáveis pelos assuntos financeiros e contábeis e na aplicação de procedimentos analíticos e de outros procedimentos de revisão. 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3664"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Base para conclusão adversa</w:t>
        <w:tab/>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Provisão para passivos contingentes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t>Em decorrência da fragilidade dos controles da Companhia, decidimos realizar a circularização dos assessores jurídicos em base interina (30 de junho de 2020), e, em nossos exames, identificamos diversas ocorrência, tais como: (i) o total registrado a maior de R$ 3.334 mil, em virtude principalmente o registro em duplicidade das contingência de natureza tributária/fiscal; (ii) o registro contábil de valores relacionados a processos apresentados pelos assessores jurídicos como arquivados, quitados; (iii) o registro contábil no passivo referente a processos cujo autor é a Companhia, ou seja, processos de natureza ativa registrados como passivo. De acordo com as informações relatadas acima, sobre os relatórios e controles disponibilizados pelos assessores jurídicos da Companhia, é possível afirmar de que os mesmo não são assertivos e de difícil compreensão, não nos permitindo concluir sobre o saldo registrado no passivo circulante e não circulante de passivos contingentes na data base de 30 de junho de 2020.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Plano de previdência privada e operações com a Cibrius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t>A CONAB mantém registrado no Ativo não circulante da Companhia, o montante de R$ 1.322.479 mil na data base de 30 de junho de 2020, relativo a créditos a receber do Tesouro Nacional, para honrar os pagamentos ao Cibrius, referente a dívida do contrato e pagamento de sentenças judiciais.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t>Em nossa revisão realizada no primeiro e segundo trimestre de 2020, verificamos que a Companhia não possui avaliação atuarial do referido plano de benefícios. Informamos que não nos foi possível avaliar se os valores registrados e relacionados ao Plano de Previdência da Companhia são suficientes e/ou se existem passivos não registrados.</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Obrigações trabalhistas – Provisão de férias e 13º salário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rPr>
      </w:pPr>
      <w:r>
        <w:rPr>
          <w:rFonts w:cs="Times New Roman" w:ascii="Times New Roman" w:hAnsi="Times New Roman"/>
          <w:bCs/>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rPr>
        <w:t>Em nossos exames, identificamos que os relatórios extraídos do sistema relativo à provisão de férias e 13º salário, são de forma inadequada revisados e ajustados manualmente. Verificamos que o saldo apresentado na contabilidade é o saldo retificado, para o qual é possível identificar a divergência de R$ 2.109 mil a menor na provisão de 13º salário e R$ 663 mil a maior na provisão de férias. Informamos que não nos foi possível concluir sobre a adequacidade dos saldos registrados, limitando a nossa opinião sobre o assunto apresentado.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Cs/>
          <w:sz w:val="20"/>
          <w:szCs w:val="20"/>
          <w:u w:val="single"/>
        </w:rPr>
      </w:pPr>
      <w:r>
        <w:rPr>
          <w:rFonts w:cs="Times New Roman" w:ascii="Times New Roman" w:hAnsi="Times New Roman"/>
          <w:bCs/>
          <w:sz w:val="20"/>
          <w:szCs w:val="20"/>
          <w:u w:val="single"/>
        </w:rPr>
        <w:t>Auditoria sobre as demonstrações financeiras do período findo em 31 de dezembro de 2019</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Conforme prevê as Normas de auditoria, em especifico a  NBC IT 07 – Planejamento de auditoria, parágrafo 51 “o auditor independente deve incluir no planejamento de auditoria: análise dos saldos de abertura, procedimentos contábeis adotados, uniformidade dos procedimentos contábeis, identificação de relevantes eventos subsequentes ao exercício anterior e revisão dos papéis de trabalho do auditor anterior. Informamos que estamos em processo de revisão do trabalho do auditor anterior; tendo em vista os pontos relatados anteriormente, tais como provisão para passivos contingente e plano de previdência privada, visto que esses assuntos já existiam no período anterior o Comitê de auditoria (COAUD) da Companhia, responsável pela supervisão do processo de elaboração que avaliou e identificou diversas distorções relevantes, o que em reunião extraordinária realizada em 13 de março de 2020 com o Conselho de Administração, informa que as demonstrações financeiras do período findo em 31 de dezembro de apresentada pela Companhia, não apresenta a sua realizada contábil, desta forma, não identificamos a aprovação dos relatórios emitidos pela CONAB naquele período.</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t>Conclusão adversa</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Nossa revisão indica que em razão dos assuntos descritos no parágrafo anterior, essas informações intermediárias não apresentam adequadamente, em todos os aspectos relevantes, a posição patrimonial e financeira da Companhia Nacional de Abastecimento – CONAB em 30 de junho de 2020, o desempenho de suas operações e seus fluxos de caixa para o trimestre findo naquela data de acordo com as práticas contábeis adotadas no Brasil.</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b/>
          <w:b/>
          <w:sz w:val="20"/>
          <w:szCs w:val="20"/>
        </w:rPr>
      </w:pPr>
      <w:r>
        <w:rPr>
          <w:rFonts w:cs="Times New Roman" w:ascii="Times New Roman" w:hAnsi="Times New Roman"/>
          <w:b/>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t>São Paulo (SP), 10 de agosto de 2020.</w:t>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228"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right="-516" w:hanging="0"/>
        <w:jc w:val="both"/>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Aderbal Alfonso Hoppe</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Sócio</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Contador CRC-1SC020036/O-8-T-SP</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TATICCA Auditores Independentes S.S.</w:t>
      </w:r>
    </w:p>
    <w:p>
      <w:pPr>
        <w:pStyle w:val="Normal"/>
        <w:spacing w:before="0" w:after="0"/>
        <w:ind w:right="-516" w:hanging="0"/>
        <w:jc w:val="center"/>
        <w:rPr>
          <w:rFonts w:ascii="Times New Roman" w:hAnsi="Times New Roman" w:cs="Times New Roman"/>
          <w:sz w:val="20"/>
          <w:szCs w:val="20"/>
        </w:rPr>
      </w:pPr>
      <w:r>
        <w:rPr>
          <w:rFonts w:cs="Times New Roman" w:ascii="Times New Roman" w:hAnsi="Times New Roman"/>
          <w:sz w:val="20"/>
          <w:szCs w:val="20"/>
        </w:rPr>
        <w:t>CRC 2SP-03.22.67/O-1</w:t>
      </w:r>
    </w:p>
    <w:p>
      <w:pPr>
        <w:pStyle w:val="Normal"/>
        <w:spacing w:before="0" w:after="0"/>
        <w:ind w:right="-516" w:hanging="0"/>
        <w:jc w:val="both"/>
        <w:rPr/>
      </w:pPr>
      <w:r>
        <w:rPr/>
      </w:r>
    </w:p>
    <w:sectPr>
      <w:headerReference w:type="default" r:id="rId2"/>
      <w:footerReference w:type="default" r:id="rId3"/>
      <w:type w:val="nextPage"/>
      <w:pgSz w:w="11906" w:h="16838"/>
      <w:pgMar w:left="1134" w:right="1134" w:header="964" w:top="2410" w:footer="709" w:bottom="2127" w:gutter="0"/>
      <w:pgNumType w:start="37"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rPr/>
    </w:pPr>
    <w:r>
      <w:rPr/>
    </w:r>
  </w:p>
  <w:p>
    <w:pPr>
      <w:pStyle w:val="Normal"/>
      <w:spacing w:before="24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mc:AlternateContent>
        <mc:Choice Requires="wps">
          <w:drawing>
            <wp:anchor behindDoc="1" distT="0" distB="0" distL="0" distR="0" simplePos="0" locked="0" layoutInCell="1" allowOverlap="1" relativeHeight="4">
              <wp:simplePos x="0" y="0"/>
              <wp:positionH relativeFrom="column">
                <wp:align>center</wp:align>
              </wp:positionH>
              <wp:positionV relativeFrom="margin">
                <wp:align>center</wp:align>
              </wp:positionV>
              <wp:extent cx="8504555" cy="12029440"/>
              <wp:effectExtent l="0" t="0" r="0" b="0"/>
              <wp:wrapNone/>
              <wp:docPr id="1" name="WordPictureWatermark347518970"/>
              <a:graphic xmlns:a="http://schemas.openxmlformats.org/drawingml/2006/main">
                <a:graphicData uri="http://schemas.openxmlformats.org/drawingml/2006/picture">
                  <pic:pic xmlns:pic="http://schemas.openxmlformats.org/drawingml/2006/picture">
                    <pic:nvPicPr>
                      <pic:cNvPr id="0" name="WordPictureWatermark347518970" descr=""/>
                      <pic:cNvPicPr/>
                    </pic:nvPicPr>
                    <pic:blipFill>
                      <a:blip r:embed="rId1"/>
                      <a:stretch/>
                    </pic:blipFill>
                    <pic:spPr>
                      <a:xfrm>
                        <a:off x="0" y="0"/>
                        <a:ext cx="8503920" cy="120286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18970" o:spid="shape_0" stroked="f" style="position:absolute;margin-left:-93.85pt;margin-top:-166.1pt;width:669.55pt;height:947.1pt;mso-position-horizontal:center;mso-position-vertical:center;mso-position-vertical-relative:margin" type="shapetype_75">
              <v:imagedata r:id="rId1" o:detectmouseclick="t"/>
              <w10:wrap type="none"/>
              <v:stroke color="#3465a4" joinstyle="round" endcap="flat"/>
            </v:shape>
          </w:pict>
        </mc:Fallback>
      </mc:AlternateContent>
      <w:drawing>
        <wp:anchor behindDoc="1" distT="0" distB="4445" distL="0" distR="114300" simplePos="0" locked="0" layoutInCell="1" allowOverlap="1" relativeHeight="6">
          <wp:simplePos x="0" y="0"/>
          <wp:positionH relativeFrom="margin">
            <wp:align>left</wp:align>
          </wp:positionH>
          <wp:positionV relativeFrom="paragraph">
            <wp:posOffset>-2540</wp:posOffset>
          </wp:positionV>
          <wp:extent cx="1610360" cy="396240"/>
          <wp:effectExtent l="0" t="0" r="0" b="0"/>
          <wp:wrapTopAndBottom/>
          <wp:docPr id="2" name="Imagem 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89" descr=""/>
                  <pic:cNvPicPr>
                    <a:picLocks noChangeAspect="1" noChangeArrowheads="1"/>
                  </pic:cNvPicPr>
                </pic:nvPicPr>
                <pic:blipFill>
                  <a:blip r:embed="rId2"/>
                  <a:stretch>
                    <a:fillRect/>
                  </a:stretch>
                </pic:blipFill>
                <pic:spPr bwMode="auto">
                  <a:xfrm>
                    <a:off x="0" y="0"/>
                    <a:ext cx="1610360" cy="396240"/>
                  </a:xfrm>
                  <a:prstGeom prst="rect">
                    <a:avLst/>
                  </a:prstGeom>
                </pic:spPr>
              </pic:pic>
            </a:graphicData>
          </a:graphic>
        </wp:anchor>
      </w:drawing>
      <w:drawing>
        <wp:anchor behindDoc="1" distT="0" distB="0" distL="114300" distR="0" simplePos="0" locked="0" layoutInCell="1" allowOverlap="1" relativeHeight="8">
          <wp:simplePos x="0" y="0"/>
          <wp:positionH relativeFrom="margin">
            <wp:align>right</wp:align>
          </wp:positionH>
          <wp:positionV relativeFrom="paragraph">
            <wp:posOffset>-43815</wp:posOffset>
          </wp:positionV>
          <wp:extent cx="1884680" cy="442595"/>
          <wp:effectExtent l="0" t="0" r="0" b="0"/>
          <wp:wrapNone/>
          <wp:docPr id="3" name="Imagem 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92" descr=""/>
                  <pic:cNvPicPr>
                    <a:picLocks noChangeAspect="1" noChangeArrowheads="1"/>
                  </pic:cNvPicPr>
                </pic:nvPicPr>
                <pic:blipFill>
                  <a:blip r:embed="rId3"/>
                  <a:stretch>
                    <a:fillRect/>
                  </a:stretch>
                </pic:blipFill>
                <pic:spPr bwMode="auto">
                  <a:xfrm>
                    <a:off x="0" y="0"/>
                    <a:ext cx="1884680" cy="442595"/>
                  </a:xfrm>
                  <a:prstGeom prst="rect">
                    <a:avLst/>
                  </a:prstGeom>
                </pic:spPr>
              </pic:pic>
            </a:graphicData>
          </a:graphic>
        </wp:anchor>
      </w:drawing>
    </w:r>
  </w:p>
</w:hdr>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eastAsia="" w:eastAsiaTheme="minorEastAsia" w:ascii="Calibri" w:hAnsi="Calibri" w:cs=""/>
      <w:color w:val="auto"/>
      <w:kern w:val="0"/>
      <w:sz w:val="22"/>
      <w:szCs w:val="22"/>
      <w:lang w:eastAsia="pt-BR" w:val="pt-BR"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Pr/>
  </w:style>
  <w:style w:type="character" w:styleId="RodapChar" w:customStyle="1">
    <w:name w:val="Rodapé Char"/>
    <w:basedOn w:val="DefaultParagraphFont"/>
    <w:link w:val="Rodap"/>
    <w:uiPriority w:val="99"/>
    <w:qFormat/>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pPr>
      <w:tabs>
        <w:tab w:val="center" w:pos="4252" w:leader="none"/>
        <w:tab w:val="right" w:pos="8504" w:leader="none"/>
      </w:tabs>
      <w:spacing w:lineRule="auto" w:line="240" w:before="0" w:after="0"/>
    </w:pPr>
    <w:rPr>
      <w:rFonts w:eastAsia="Calibri" w:eastAsiaTheme="minorHAnsi"/>
      <w:lang w:eastAsia="en-US"/>
    </w:rPr>
  </w:style>
  <w:style w:type="paragraph" w:styleId="Rodap">
    <w:name w:val="Footer"/>
    <w:basedOn w:val="Normal"/>
    <w:link w:val="RodapChar"/>
    <w:uiPriority w:val="99"/>
    <w:unhideWhenUsed/>
    <w:pPr>
      <w:tabs>
        <w:tab w:val="center" w:pos="4252" w:leader="none"/>
        <w:tab w:val="right" w:pos="8504" w:leader="none"/>
      </w:tabs>
      <w:spacing w:lineRule="auto" w:line="240" w:before="0" w:after="0"/>
    </w:pPr>
    <w:rPr>
      <w:rFonts w:eastAsia="Calibri" w:eastAsiaTheme="minorHAnsi"/>
      <w:lang w:eastAsia="en-US"/>
    </w:rPr>
  </w:style>
  <w:style w:type="paragraph" w:styleId="NoSpacing1" w:customStyle="1">
    <w:name w:val="No Spacing1"/>
    <w:qFormat/>
    <w:pPr>
      <w:widowControl/>
      <w:bidi w:val="0"/>
      <w:spacing w:lineRule="auto" w:line="240" w:before="0" w:after="0"/>
      <w:jc w:val="left"/>
    </w:pPr>
    <w:rPr>
      <w:rFonts w:ascii="Calibri" w:hAnsi="Calibri" w:eastAsia="SimSun" w:cs="Calibri" w:asciiTheme="minorHAnsi" w:hAnsiTheme="minorHAnsi"/>
      <w:color w:val="auto"/>
      <w:kern w:val="0"/>
      <w:sz w:val="22"/>
      <w:szCs w:val="22"/>
      <w:lang w:eastAsia="pt-BR"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wmf"/><Relationship Id="rId3" Type="http://schemas.openxmlformats.org/officeDocument/2006/relationships/image" Target="media/image3.wmf"/>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27C73-5863-4B15-9211-3CAAFFFA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Application>LibreOffice/6.0.6.2$Windows_X86_64 LibreOffice_project/0c292870b25a325b5ed35f6b45599d2ea4458e77</Application>
  <Pages>3</Pages>
  <Words>880</Words>
  <Characters>5090</Characters>
  <CharactersWithSpaces>5949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2020-08-10T11:34:00Z</dcterms:created>
  <dc:creator>Felipe Villela</dc:creator>
  <dc:description/>
  <dc:language>pt-BR</dc:language>
  <cp:lastModifiedBy>Valeria Oliveira</cp:lastModifiedBy>
  <dcterms:modified xsi:type="dcterms:W3CDTF">2020-08-10T17:55:00Z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