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Rule="auto" w:line="240" w:after="40"/>
        <w:rPr>
          <w:rStyle w:val="216"/>
          <w:color w:val="FF0000"/>
          <w:sz w:val="16"/>
          <w:szCs w:val="16"/>
        </w:rPr>
      </w:pPr>
      <w:r>
        <w:rPr>
          <w:rFonts w:ascii="Arial" w:hAnsi="Arial" w:cs="Arial"/>
          <w:b/>
          <w:bCs/>
          <w:color w:val="999999"/>
          <w:sz w:val="20"/>
        </w:rPr>
        <w:t xml:space="preserve">SOJA</w:t>
      </w:r>
      <w:r>
        <w:rPr>
          <w:rFonts w:ascii="Arial" w:hAnsi="Arial" w:cs="Arial"/>
          <w:b/>
          <w:bCs/>
          <w:color w:val="999999"/>
          <w:sz w:val="20"/>
        </w:rPr>
        <w:t xml:space="preserve"> – </w:t>
      </w:r>
      <w:r>
        <w:rPr>
          <w:rFonts w:ascii="Arial" w:hAnsi="Arial" w:cs="Arial"/>
          <w:b/>
          <w:bCs/>
          <w:color w:val="999999"/>
          <w:sz w:val="20"/>
        </w:rPr>
        <w:t xml:space="preserve">18 a 22</w:t>
      </w:r>
      <w:r>
        <w:rPr>
          <w:rFonts w:ascii="Arial" w:hAnsi="Arial" w:cs="Arial"/>
          <w:b/>
          <w:bCs/>
          <w:color w:val="999999"/>
          <w:sz w:val="20"/>
        </w:rPr>
        <w:t xml:space="preserve">/</w:t>
      </w:r>
      <w:r>
        <w:rPr>
          <w:rFonts w:ascii="Arial" w:hAnsi="Arial" w:cs="Arial"/>
          <w:b/>
          <w:bCs/>
          <w:color w:val="999999"/>
          <w:sz w:val="20"/>
        </w:rPr>
        <w:t xml:space="preserve">01/21</w:t>
      </w:r>
      <w:r>
        <w:rPr>
          <w:rFonts w:ascii="Arial" w:hAnsi="Arial" w:cs="Arial"/>
          <w:b/>
          <w:bCs/>
          <w:color w:val="999999"/>
          <w:sz w:val="20"/>
        </w:rPr>
        <w:t xml:space="preserve">                                                                  </w:t>
      </w:r>
      <w:r/>
    </w:p>
    <w:p>
      <w:pPr>
        <w:jc w:val="both"/>
        <w:spacing w:lineRule="auto" w:line="240" w:after="40"/>
        <w:rPr>
          <w:rFonts w:ascii="Arial" w:hAnsi="Arial" w:cs="Arial"/>
          <w:b/>
          <w:bCs/>
          <w:color w:val="003366"/>
          <w:sz w:val="15"/>
        </w:rPr>
      </w:pPr>
      <w:r>
        <w:rPr>
          <w:rFonts w:ascii="Arial Black" w:hAnsi="Arial Black"/>
          <w:b/>
          <w:bCs/>
          <w:color w:val="999999"/>
          <w:sz w:val="16"/>
        </w:rPr>
        <w:t xml:space="preserve">Tabela 1</w:t>
      </w:r>
      <w:r>
        <w:rPr>
          <w:sz w:val="16"/>
        </w:rPr>
        <w:t xml:space="preserve"> </w:t>
      </w:r>
      <w:r>
        <w:rPr>
          <w:rFonts w:ascii="Arial" w:hAnsi="Arial" w:cs="Arial"/>
          <w:b/>
          <w:bCs/>
          <w:sz w:val="16"/>
        </w:rPr>
        <w:t xml:space="preserve">- </w:t>
      </w:r>
      <w:r>
        <w:rPr>
          <w:rFonts w:ascii="Arial" w:hAnsi="Arial" w:cs="Arial"/>
          <w:b/>
          <w:bCs/>
          <w:color w:val="003366"/>
          <w:sz w:val="15"/>
        </w:rPr>
        <w:t xml:space="preserve">Parâmetros de análise de mercado d</w:t>
      </w:r>
      <w:r>
        <w:rPr>
          <w:rFonts w:ascii="Arial" w:hAnsi="Arial" w:cs="Arial"/>
          <w:b/>
          <w:bCs/>
          <w:color w:val="003366"/>
          <w:sz w:val="15"/>
        </w:rPr>
        <w:t xml:space="preserve">e</w:t>
      </w:r>
      <w:r>
        <w:rPr>
          <w:rFonts w:ascii="Arial" w:hAnsi="Arial" w:cs="Arial"/>
          <w:b/>
          <w:bCs/>
          <w:color w:val="003366"/>
          <w:sz w:val="15"/>
        </w:rPr>
        <w:t xml:space="preserve"> </w:t>
      </w:r>
      <w:r>
        <w:rPr>
          <w:rFonts w:ascii="Arial" w:hAnsi="Arial" w:cs="Arial"/>
          <w:b/>
          <w:bCs/>
          <w:color w:val="003366"/>
          <w:sz w:val="15"/>
        </w:rPr>
        <w:t xml:space="preserve">soja</w:t>
      </w:r>
      <w:r>
        <w:rPr>
          <w:rFonts w:ascii="Arial" w:hAnsi="Arial" w:cs="Arial"/>
          <w:b/>
          <w:bCs/>
          <w:color w:val="003366"/>
          <w:sz w:val="15"/>
        </w:rPr>
        <w:t xml:space="preserve"> – médias semanais.</w:t>
      </w:r>
      <w:r/>
    </w:p>
    <w:p>
      <w:pPr>
        <w:spacing w:lineRule="auto" w:line="240" w:after="40"/>
        <w:rPr>
          <w:rFonts w:ascii="Arial" w:hAnsi="Arial" w:cs="Arial"/>
          <w:b/>
          <w:bCs/>
          <w:color w:val="999999"/>
          <w:sz w:val="2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840220" cy="2385695"/>
                <wp:effectExtent l="0" t="0" r="0" b="0"/>
                <wp:docPr id="2" name="Imagem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840220" cy="2385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538.6pt;height:187.8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left="-142"/>
        <w:spacing w:lineRule="auto" w:line="240" w:after="0"/>
        <w:rPr>
          <w:rFonts w:ascii="Arial" w:hAnsi="Arial" w:cs="Arial"/>
          <w:i/>
          <w:sz w:val="14"/>
          <w:szCs w:val="14"/>
          <w:lang w:eastAsia="pt-BR"/>
        </w:rPr>
      </w:pPr>
      <w:r>
        <w:rPr>
          <w:rFonts w:ascii="Arial" w:hAnsi="Arial" w:cs="Arial"/>
          <w:i/>
          <w:sz w:val="12"/>
          <w:szCs w:val="14"/>
          <w:lang w:eastAsia="pt-BR"/>
        </w:rPr>
        <w:t xml:space="preserve">        </w:t>
      </w:r>
      <w:r>
        <w:rPr>
          <w:rFonts w:ascii="Arial" w:hAnsi="Arial" w:cs="Arial"/>
          <w:i/>
          <w:sz w:val="12"/>
          <w:szCs w:val="14"/>
          <w:lang w:eastAsia="pt-BR"/>
        </w:rPr>
        <w:t xml:space="preserve">*</w:t>
      </w:r>
      <w:r>
        <w:rPr>
          <w:rFonts w:ascii="Arial" w:hAnsi="Arial" w:cs="Arial"/>
          <w:i/>
          <w:sz w:val="14"/>
          <w:szCs w:val="14"/>
          <w:lang w:eastAsia="pt-BR"/>
        </w:rPr>
        <w:t xml:space="preserve"> Os preços médios semanais apresentados nas praças de Sorriso/MT, Cascavel/PR, Rondonópolis-MT e Paranaguá/</w:t>
      </w:r>
      <w:r>
        <w:rPr>
          <w:rFonts w:ascii="Arial" w:hAnsi="Arial" w:cs="Arial"/>
          <w:i/>
          <w:sz w:val="14"/>
          <w:szCs w:val="14"/>
          <w:lang w:eastAsia="pt-BR"/>
        </w:rPr>
        <w:t xml:space="preserve">PR</w:t>
      </w:r>
      <w:r>
        <w:rPr>
          <w:rFonts w:ascii="Arial" w:hAnsi="Arial" w:cs="Arial"/>
          <w:i/>
          <w:sz w:val="14"/>
          <w:szCs w:val="14"/>
          <w:lang w:eastAsia="pt-BR"/>
        </w:rPr>
        <w:t xml:space="preserve"> são referentes ao mercado disponível.</w:t>
      </w:r>
      <w:r/>
    </w:p>
    <w:p>
      <w:pPr>
        <w:ind w:firstLine="142"/>
        <w:jc w:val="both"/>
        <w:spacing w:after="0"/>
        <w:tabs>
          <w:tab w:val="left" w:pos="4920" w:leader="none"/>
        </w:tabs>
        <w:rPr>
          <w:rFonts w:ascii="Arial" w:hAnsi="Arial" w:cs="Arial"/>
          <w:i/>
          <w:sz w:val="14"/>
          <w:szCs w:val="14"/>
          <w:lang w:eastAsia="pt-BR"/>
        </w:rPr>
      </w:pPr>
      <w:r>
        <w:rPr>
          <w:rFonts w:ascii="Arial" w:hAnsi="Arial" w:cs="Arial"/>
          <w:i/>
          <w:sz w:val="14"/>
          <w:szCs w:val="14"/>
          <w:lang w:eastAsia="pt-BR"/>
        </w:rPr>
        <w:t xml:space="preserve">**Preço mínimo (safra </w:t>
      </w:r>
      <w:r>
        <w:rPr>
          <w:rFonts w:ascii="Arial" w:hAnsi="Arial" w:cs="Arial"/>
          <w:i/>
          <w:sz w:val="14"/>
          <w:szCs w:val="14"/>
          <w:lang w:eastAsia="pt-BR"/>
        </w:rPr>
        <w:t xml:space="preserve">2020/2021</w:t>
      </w:r>
      <w:r>
        <w:rPr>
          <w:rFonts w:ascii="Arial" w:hAnsi="Arial" w:cs="Arial"/>
          <w:i/>
          <w:sz w:val="14"/>
          <w:szCs w:val="14"/>
          <w:lang w:eastAsia="pt-BR"/>
        </w:rPr>
        <w:t xml:space="preserve">):  R$ </w:t>
      </w:r>
      <w:r>
        <w:rPr>
          <w:rFonts w:ascii="Arial" w:hAnsi="Arial" w:cs="Arial"/>
          <w:i/>
          <w:sz w:val="14"/>
          <w:szCs w:val="14"/>
          <w:lang w:eastAsia="pt-BR"/>
        </w:rPr>
        <w:t xml:space="preserve">45,24</w:t>
      </w:r>
      <w:r>
        <w:rPr>
          <w:rFonts w:ascii="Arial" w:hAnsi="Arial" w:cs="Arial"/>
          <w:i/>
          <w:sz w:val="14"/>
          <w:szCs w:val="14"/>
          <w:lang w:eastAsia="pt-BR"/>
        </w:rPr>
        <w:t xml:space="preserve">/60Kg</w:t>
      </w:r>
      <w:r>
        <w:rPr>
          <w:rFonts w:ascii="Arial" w:hAnsi="Arial" w:cs="Arial"/>
          <w:i/>
          <w:sz w:val="14"/>
          <w:szCs w:val="14"/>
          <w:lang w:eastAsia="pt-BR"/>
        </w:rPr>
        <w:t xml:space="preserve">.</w:t>
      </w:r>
      <w:r/>
    </w:p>
    <w:p>
      <w:pPr>
        <w:ind w:firstLine="142"/>
        <w:jc w:val="both"/>
        <w:spacing w:after="0"/>
        <w:tabs>
          <w:tab w:val="left" w:pos="4920" w:leader="none"/>
        </w:tabs>
        <w:rPr>
          <w:rFonts w:ascii="Arial" w:hAnsi="Arial" w:cs="Arial"/>
          <w:i/>
          <w:sz w:val="12"/>
          <w:szCs w:val="20"/>
          <w:lang w:eastAsia="pt-BR"/>
        </w:rPr>
        <w:sectPr>
          <w:headerReference w:type="default" r:id="rId8"/>
          <w:footerReference w:type="default" r:id="rId9"/>
          <w:footnotePr/>
          <w:type w:val="nextPage"/>
          <w:pgSz w:w="11906" w:h="16838" w:orient="portrait"/>
          <w:pgMar w:top="1418" w:right="567" w:bottom="1418" w:left="567" w:header="709" w:footer="454" w:gutter="0"/>
          <w:cols w:num="1" w:sep="0" w:space="145" w:equalWidth="1"/>
          <w:docGrid w:linePitch="360"/>
        </w:sectPr>
      </w:pPr>
      <w:r>
        <w:rPr>
          <w:rFonts w:ascii="Arial" w:hAnsi="Arial" w:cs="Arial"/>
          <w:i/>
          <w:sz w:val="14"/>
          <w:szCs w:val="14"/>
          <w:lang w:eastAsia="pt-BR"/>
        </w:rPr>
        <w:t xml:space="preserve">Fonte: </w:t>
      </w:r>
      <w:r>
        <w:rPr>
          <w:rFonts w:ascii="Arial" w:hAnsi="Arial" w:cs="Arial"/>
          <w:i/>
          <w:sz w:val="14"/>
          <w:szCs w:val="14"/>
          <w:lang w:eastAsia="pt-BR"/>
        </w:rPr>
        <w:t xml:space="preserve">Banco Central/</w:t>
      </w:r>
      <w:r>
        <w:rPr>
          <w:rFonts w:ascii="Arial" w:hAnsi="Arial" w:cs="Arial"/>
          <w:i/>
          <w:sz w:val="14"/>
          <w:szCs w:val="14"/>
          <w:lang w:eastAsia="pt-BR"/>
        </w:rPr>
        <w:t xml:space="preserve">Conab/CME-</w:t>
      </w:r>
      <w:r>
        <w:rPr>
          <w:rFonts w:ascii="Arial" w:hAnsi="Arial" w:cs="Arial"/>
          <w:i/>
          <w:sz w:val="14"/>
          <w:szCs w:val="14"/>
          <w:lang w:eastAsia="pt-BR"/>
        </w:rPr>
        <w:t xml:space="preserve">Group</w:t>
      </w:r>
      <w:r>
        <w:rPr>
          <w:rFonts w:ascii="Arial" w:hAnsi="Arial" w:cs="Arial"/>
          <w:i/>
          <w:sz w:val="14"/>
          <w:szCs w:val="14"/>
          <w:lang w:eastAsia="pt-BR"/>
        </w:rPr>
        <w:t xml:space="preserve">/</w:t>
      </w:r>
      <w:r>
        <w:rPr>
          <w:rFonts w:ascii="Arial" w:hAnsi="Arial" w:cs="Arial"/>
          <w:i/>
          <w:sz w:val="14"/>
          <w:szCs w:val="14"/>
          <w:lang w:eastAsia="pt-BR"/>
        </w:rPr>
        <w:t xml:space="preserve">Stonex</w:t>
      </w:r>
      <w:r>
        <w:rPr>
          <w:rFonts w:ascii="Arial" w:hAnsi="Arial" w:cs="Arial"/>
          <w:i/>
          <w:sz w:val="14"/>
          <w:szCs w:val="14"/>
          <w:lang w:eastAsia="pt-BR"/>
        </w:rPr>
        <w:t xml:space="preserve">.</w:t>
      </w:r>
      <w:r/>
    </w:p>
    <w:p>
      <w:pPr>
        <w:pStyle w:val="200"/>
        <w:ind w:right="284"/>
        <w:spacing w:after="0"/>
        <w:rPr>
          <w:rFonts w:cs="Arial"/>
          <w:b/>
          <w:i w:val="false"/>
          <w:color w:val="003366"/>
          <w:sz w:val="24"/>
          <w:szCs w:val="24"/>
        </w:rPr>
      </w:pPr>
      <w:r>
        <w:rPr>
          <w:rFonts w:cs="Arial"/>
          <w:b/>
          <w:i w:val="false"/>
          <w:color w:val="003366"/>
          <w:sz w:val="24"/>
          <w:szCs w:val="24"/>
        </w:rPr>
      </w:r>
      <w:r/>
    </w:p>
    <w:p>
      <w:pPr>
        <w:pStyle w:val="200"/>
        <w:ind w:right="284"/>
        <w:spacing w:after="0"/>
        <w:rPr>
          <w:rFonts w:cs="Arial"/>
          <w:b/>
          <w:i w:val="false"/>
          <w:color w:val="003366"/>
          <w:sz w:val="24"/>
          <w:szCs w:val="24"/>
        </w:rPr>
      </w:pPr>
      <w:r>
        <w:rPr>
          <w:rFonts w:cs="Arial"/>
          <w:b/>
          <w:i w:val="false"/>
          <w:color w:val="003366"/>
          <w:sz w:val="24"/>
          <w:szCs w:val="24"/>
        </w:rPr>
        <w:t xml:space="preserve">Mercado </w:t>
      </w:r>
      <w:r>
        <w:rPr>
          <w:rFonts w:cs="Arial"/>
          <w:b/>
          <w:i w:val="false"/>
          <w:color w:val="003366"/>
          <w:sz w:val="24"/>
          <w:szCs w:val="24"/>
        </w:rPr>
        <w:t xml:space="preserve">Internacional</w:t>
      </w:r>
      <w:r>
        <w:rPr>
          <w:rFonts w:cs="Arial"/>
          <w:b/>
          <w:i w:val="false"/>
          <w:color w:val="003366"/>
          <w:sz w:val="24"/>
          <w:szCs w:val="24"/>
        </w:rPr>
        <w:t xml:space="preserve">.</w:t>
      </w:r>
      <w:r/>
    </w:p>
    <w:p>
      <w:pPr>
        <w:pStyle w:val="200"/>
        <w:ind w:right="284"/>
        <w:spacing w:after="0"/>
        <w:rPr>
          <w:rFonts w:cs="Arial"/>
          <w:b/>
          <w:i w:val="false"/>
          <w:color w:val="003366"/>
          <w:sz w:val="22"/>
          <w:szCs w:val="22"/>
        </w:rPr>
      </w:pPr>
      <w:r>
        <w:rPr>
          <w:rFonts w:cs="Arial"/>
          <w:b/>
          <w:i w:val="false"/>
          <w:color w:val="003366"/>
          <w:sz w:val="22"/>
          <w:szCs w:val="22"/>
        </w:rPr>
      </w:r>
      <w:r/>
    </w:p>
    <w:p>
      <w:pPr>
        <w:ind w:right="284" w:firstLine="567"/>
        <w:jc w:val="both"/>
        <w:spacing w:lineRule="auto" w:line="288" w:after="0"/>
        <w:tabs>
          <w:tab w:val="left" w:pos="2977" w:leader="none"/>
          <w:tab w:val="left" w:pos="3402" w:leader="none"/>
          <w:tab w:val="left" w:pos="4678" w:leader="none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Os preços de soja na Bolsa de Valores de Chicago (CBOT) tiveram uma forte queda esta semana motivado pela inversão de posição e realização de lucros, e também, pelas boas condições climáticas na América do Sul.</w:t>
      </w:r>
      <w:r/>
    </w:p>
    <w:p>
      <w:pPr>
        <w:ind w:right="284" w:firstLine="567"/>
        <w:jc w:val="both"/>
        <w:spacing w:lineRule="auto" w:line="288" w:after="0"/>
        <w:tabs>
          <w:tab w:val="left" w:pos="2977" w:leader="none"/>
          <w:tab w:val="left" w:pos="3402" w:leader="none"/>
          <w:tab w:val="left" w:pos="4678" w:leader="none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/>
    </w:p>
    <w:p>
      <w:pPr>
        <w:pStyle w:val="200"/>
        <w:ind w:right="284"/>
        <w:spacing w:after="0"/>
        <w:rPr>
          <w:rFonts w:cs="Arial"/>
          <w:b/>
          <w:i w:val="false"/>
          <w:color w:val="003366"/>
          <w:sz w:val="22"/>
          <w:szCs w:val="22"/>
        </w:rPr>
      </w:pPr>
      <w:r>
        <w:rPr>
          <w:rFonts w:cs="Arial"/>
          <w:b/>
          <w:i w:val="false"/>
          <w:color w:val="003366"/>
          <w:sz w:val="22"/>
          <w:szCs w:val="22"/>
        </w:rPr>
        <w:t xml:space="preserve">Mercado </w:t>
      </w:r>
      <w:r>
        <w:rPr>
          <w:rFonts w:cs="Arial"/>
          <w:b/>
          <w:i w:val="false"/>
          <w:color w:val="003366"/>
          <w:sz w:val="22"/>
          <w:szCs w:val="22"/>
        </w:rPr>
        <w:t xml:space="preserve">Nacional</w:t>
      </w:r>
      <w:r>
        <w:rPr>
          <w:rFonts w:cs="Arial"/>
          <w:b/>
          <w:i w:val="false"/>
          <w:color w:val="003366"/>
          <w:sz w:val="22"/>
          <w:szCs w:val="22"/>
        </w:rPr>
        <w:t xml:space="preserve">.</w:t>
      </w:r>
      <w:r/>
    </w:p>
    <w:p>
      <w:pPr>
        <w:pStyle w:val="200"/>
        <w:ind w:right="284"/>
        <w:spacing w:after="0"/>
        <w:rPr>
          <w:rFonts w:cs="Arial"/>
          <w:b/>
          <w:i w:val="false"/>
          <w:color w:val="003366"/>
          <w:sz w:val="22"/>
          <w:szCs w:val="22"/>
        </w:rPr>
      </w:pPr>
      <w:r>
        <w:rPr>
          <w:rFonts w:cs="Arial"/>
          <w:b/>
          <w:i w:val="false"/>
          <w:color w:val="003366"/>
          <w:sz w:val="22"/>
          <w:szCs w:val="22"/>
        </w:rPr>
        <w:t xml:space="preserve">Prêmio de porto</w:t>
      </w:r>
      <w:r>
        <w:rPr>
          <w:rFonts w:cs="Arial"/>
          <w:b/>
          <w:i w:val="false"/>
          <w:color w:val="003366"/>
          <w:sz w:val="22"/>
          <w:szCs w:val="22"/>
        </w:rPr>
        <w:t xml:space="preserve">.</w:t>
      </w:r>
      <w:r/>
    </w:p>
    <w:p>
      <w:pPr>
        <w:pStyle w:val="200"/>
        <w:ind w:right="284"/>
        <w:spacing w:after="0"/>
        <w:rPr>
          <w:rFonts w:cs="Arial"/>
          <w:b/>
          <w:i w:val="false"/>
          <w:color w:val="003366"/>
          <w:sz w:val="22"/>
          <w:szCs w:val="22"/>
        </w:rPr>
      </w:pPr>
      <w:r>
        <w:rPr>
          <w:rFonts w:cs="Arial"/>
          <w:b/>
          <w:i w:val="false"/>
          <w:color w:val="003366"/>
          <w:sz w:val="22"/>
          <w:szCs w:val="22"/>
        </w:rPr>
      </w:r>
      <w:r/>
    </w:p>
    <w:p>
      <w:pPr>
        <w:ind w:right="284" w:firstLine="567"/>
        <w:jc w:val="both"/>
        <w:spacing w:lineRule="auto" w:line="288" w:after="0"/>
        <w:tabs>
          <w:tab w:val="left" w:pos="2977" w:leader="none"/>
          <w:tab w:val="left" w:pos="3402" w:leader="none"/>
          <w:tab w:val="left" w:pos="4678" w:leader="none"/>
        </w:tabs>
        <w:rPr>
          <w:rFonts w:cs="Arial"/>
          <w:b/>
          <w:color w:val="003366"/>
        </w:rPr>
      </w:pPr>
      <w:r>
        <w:rPr>
          <w:rFonts w:ascii="Arial" w:hAnsi="Arial" w:cs="Arial"/>
          <w:color w:val="000000" w:themeColor="text1"/>
        </w:rPr>
        <w:t xml:space="preserve">Os prêmios de portos </w:t>
      </w:r>
      <w:r>
        <w:rPr>
          <w:rFonts w:ascii="Arial" w:hAnsi="Arial" w:cs="Arial"/>
          <w:color w:val="000000" w:themeColor="text1"/>
        </w:rPr>
        <w:t xml:space="preserve">começaram a semana com forte alta e durante a semana tiveram baixa consecutiva mas ainda</w:t>
      </w:r>
      <w:r>
        <w:rPr>
          <w:rFonts w:ascii="Arial" w:hAnsi="Arial" w:cs="Arial"/>
          <w:color w:val="000000" w:themeColor="text1"/>
        </w:rPr>
        <w:t xml:space="preserve"> um pouco </w:t>
      </w:r>
      <w:r>
        <w:rPr>
          <w:rFonts w:ascii="Arial" w:hAnsi="Arial" w:cs="Arial"/>
          <w:color w:val="000000" w:themeColor="text1"/>
        </w:rPr>
        <w:t xml:space="preserve">acima da média</w:t>
      </w:r>
      <w:r>
        <w:rPr>
          <w:rFonts w:ascii="Arial" w:hAnsi="Arial" w:cs="Arial"/>
          <w:color w:val="000000" w:themeColor="text1"/>
        </w:rPr>
        <w:t xml:space="preserve"> do mesmo período dos últimos cinco anos e de 2020.</w:t>
      </w:r>
      <w:r/>
    </w:p>
    <w:p>
      <w:pPr>
        <w:pStyle w:val="200"/>
        <w:ind w:right="284"/>
        <w:spacing w:after="0"/>
        <w:rPr>
          <w:rFonts w:cs="Arial"/>
          <w:b/>
          <w:i w:val="false"/>
          <w:color w:val="003366"/>
          <w:sz w:val="22"/>
          <w:szCs w:val="22"/>
        </w:rPr>
      </w:pPr>
      <w:r>
        <w:rPr>
          <w:rFonts w:cs="Arial"/>
          <w:b/>
          <w:i w:val="false"/>
          <w:color w:val="003366"/>
          <w:sz w:val="22"/>
          <w:szCs w:val="22"/>
        </w:rPr>
        <w:t xml:space="preserve">Dólar</w:t>
      </w:r>
      <w:r>
        <w:rPr>
          <w:rFonts w:cs="Arial"/>
          <w:b/>
          <w:i w:val="false"/>
          <w:color w:val="003366"/>
          <w:sz w:val="22"/>
          <w:szCs w:val="22"/>
        </w:rPr>
        <w:t xml:space="preserve">.</w:t>
      </w:r>
      <w:r/>
    </w:p>
    <w:p>
      <w:pPr>
        <w:ind w:right="284" w:firstLine="567"/>
        <w:jc w:val="both"/>
        <w:spacing w:lineRule="auto" w:line="288" w:after="0"/>
        <w:tabs>
          <w:tab w:val="left" w:pos="2977" w:leader="none"/>
          <w:tab w:val="left" w:pos="3402" w:leader="none"/>
          <w:tab w:val="left" w:pos="4678" w:leader="none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/>
    </w:p>
    <w:p>
      <w:pPr>
        <w:ind w:right="284" w:firstLine="567"/>
        <w:jc w:val="both"/>
        <w:spacing w:lineRule="auto" w:line="288" w:after="0"/>
        <w:tabs>
          <w:tab w:val="left" w:pos="2977" w:leader="none"/>
          <w:tab w:val="left" w:pos="3402" w:leader="none"/>
          <w:tab w:val="left" w:pos="4678" w:leader="none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O dólar iniciou a semana cotado em R$ 5,30 e terminou a semana cotado em R$ 5,47</w:t>
      </w:r>
      <w:r>
        <w:rPr>
          <w:rFonts w:ascii="Arial" w:hAnsi="Arial" w:cs="Arial"/>
          <w:color w:val="000000" w:themeColor="text1"/>
        </w:rPr>
        <w:t xml:space="preserve">. Es</w:t>
      </w:r>
      <w:r>
        <w:rPr>
          <w:rFonts w:ascii="Arial" w:hAnsi="Arial" w:cs="Arial"/>
          <w:color w:val="000000" w:themeColor="text1"/>
        </w:rPr>
        <w:t xml:space="preserve">sa desvalorização do real frente ao dólar se deu, primeiramente, pelo rápido avanço da covid-19 no Brasil e por promessas dos candidatos da Câmara e Senado de prorrogar o auxílio emergencial, o que prejudicaria de sobremaneira as contas do Governo Federal.</w:t>
      </w:r>
      <w:r/>
    </w:p>
    <w:p>
      <w:pPr>
        <w:pStyle w:val="200"/>
        <w:ind w:right="284"/>
        <w:spacing w:after="0"/>
        <w:rPr>
          <w:rFonts w:cs="Arial"/>
          <w:b/>
          <w:i w:val="false"/>
          <w:color w:val="003366"/>
          <w:sz w:val="22"/>
          <w:szCs w:val="22"/>
        </w:rPr>
      </w:pPr>
      <w:r>
        <w:rPr>
          <w:rFonts w:cs="Arial"/>
          <w:b/>
          <w:i w:val="false"/>
          <w:color w:val="003366"/>
          <w:sz w:val="22"/>
          <w:szCs w:val="22"/>
        </w:rPr>
        <w:t xml:space="preserve">Preços Nacionais.</w:t>
      </w:r>
      <w:r/>
    </w:p>
    <w:p>
      <w:pPr>
        <w:ind w:right="284"/>
        <w:jc w:val="both"/>
        <w:spacing w:lineRule="auto" w:line="288" w:after="0"/>
        <w:tabs>
          <w:tab w:val="left" w:pos="2977" w:leader="none"/>
          <w:tab w:val="left" w:pos="3402" w:leader="none"/>
          <w:tab w:val="left" w:pos="4678" w:leader="none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/>
    </w:p>
    <w:p>
      <w:pPr>
        <w:ind w:right="284" w:firstLine="567"/>
        <w:jc w:val="both"/>
        <w:spacing w:lineRule="auto" w:line="288" w:after="0"/>
        <w:tabs>
          <w:tab w:val="left" w:pos="2977" w:leader="none"/>
          <w:tab w:val="left" w:pos="3402" w:leader="none"/>
          <w:tab w:val="left" w:pos="4678" w:leader="none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Apesar do atraso </w:t>
      </w:r>
      <w:r>
        <w:rPr>
          <w:rFonts w:ascii="Arial" w:hAnsi="Arial" w:cs="Arial"/>
          <w:color w:val="000000" w:themeColor="text1"/>
        </w:rPr>
        <w:t xml:space="preserve">a colheita brasileira de soja </w:t>
      </w:r>
      <w:r>
        <w:rPr>
          <w:rFonts w:ascii="Arial" w:hAnsi="Arial" w:cs="Arial"/>
          <w:color w:val="000000" w:themeColor="text1"/>
        </w:rPr>
        <w:t xml:space="preserve">já começa </w:t>
      </w:r>
      <w:r>
        <w:rPr>
          <w:rFonts w:ascii="Arial" w:hAnsi="Arial" w:cs="Arial"/>
          <w:color w:val="000000" w:themeColor="text1"/>
        </w:rPr>
        <w:t xml:space="preserve">com aproximadamente </w:t>
      </w:r>
      <w:r>
        <w:rPr>
          <w:rFonts w:ascii="Arial" w:hAnsi="Arial" w:cs="Arial"/>
          <w:color w:val="000000" w:themeColor="text1"/>
        </w:rPr>
        <w:t xml:space="preserve">0,3% da safra colhida. No mesmo período de 2020 este valor era de 6%, porém a safra anterior foi plantada antecipadamente e não houve atrasos no plantio com ocorrido na safra 2020/21.</w:t>
      </w:r>
      <w:r/>
    </w:p>
    <w:p>
      <w:pPr>
        <w:ind w:right="284" w:firstLine="567"/>
        <w:jc w:val="both"/>
        <w:spacing w:lineRule="auto" w:line="288" w:after="0"/>
        <w:tabs>
          <w:tab w:val="left" w:pos="2977" w:leader="none"/>
          <w:tab w:val="left" w:pos="3402" w:leader="none"/>
          <w:tab w:val="left" w:pos="4678" w:leader="none"/>
        </w:tabs>
        <w:rPr>
          <w:rFonts w:ascii="Arial" w:hAnsi="Arial" w:cs="Arial"/>
          <w:color w:val="00000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606702" cy="2077085"/>
                <wp:effectExtent l="0" t="0" r="3175" b="0"/>
                <wp:docPr id="3" name="Imagem 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hidden="0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616570" cy="208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205.3pt;height:163.5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ind w:right="284" w:firstLine="567"/>
        <w:jc w:val="both"/>
        <w:spacing w:lineRule="auto" w:line="288" w:after="0"/>
        <w:tabs>
          <w:tab w:val="left" w:pos="2977" w:leader="none"/>
          <w:tab w:val="left" w:pos="3402" w:leader="none"/>
          <w:tab w:val="left" w:pos="4678" w:leader="none"/>
        </w:tabs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Fonte: Conab</w:t>
      </w:r>
      <w:r/>
    </w:p>
    <w:p>
      <w:pPr>
        <w:ind w:right="284"/>
        <w:jc w:val="both"/>
        <w:spacing w:lineRule="auto" w:line="288" w:after="0"/>
        <w:tabs>
          <w:tab w:val="left" w:pos="2977" w:leader="none"/>
          <w:tab w:val="left" w:pos="3402" w:leader="none"/>
          <w:tab w:val="left" w:pos="4678" w:leader="none"/>
        </w:tabs>
        <w:rPr>
          <w:rFonts w:ascii="Arial" w:hAnsi="Arial" w:cs="Arial"/>
          <w:color w:val="000000"/>
          <w:sz w:val="16"/>
          <w:szCs w:val="16"/>
        </w:rPr>
      </w:pPr>
      <w:r/>
      <w:hyperlink r:id="rId12" w:history="1">
        <w:r>
          <w:rPr>
            <w:rStyle w:val="216"/>
            <w:rFonts w:ascii="Arial" w:hAnsi="Arial" w:cs="Arial"/>
            <w:sz w:val="16"/>
            <w:szCs w:val="16"/>
          </w:rPr>
          <w:t xml:space="preserve">https://www.conab.gov.br/info-agro/safras/progresso-de-safra</w:t>
        </w:r>
      </w:hyperlink>
      <w:r/>
      <w:r/>
    </w:p>
    <w:p>
      <w:pPr>
        <w:ind w:right="284"/>
        <w:jc w:val="both"/>
        <w:spacing w:lineRule="auto" w:line="288" w:after="0"/>
        <w:tabs>
          <w:tab w:val="left" w:pos="2977" w:leader="none"/>
          <w:tab w:val="left" w:pos="3402" w:leader="none"/>
          <w:tab w:val="left" w:pos="4678" w:leader="none"/>
        </w:tabs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</w:r>
      <w:r/>
    </w:p>
    <w:p>
      <w:pPr>
        <w:ind w:right="284" w:firstLine="567"/>
        <w:jc w:val="both"/>
        <w:spacing w:lineRule="auto" w:line="288" w:after="0"/>
        <w:tabs>
          <w:tab w:val="left" w:pos="2977" w:leader="none"/>
          <w:tab w:val="left" w:pos="3402" w:leader="none"/>
          <w:tab w:val="left" w:pos="4678" w:leader="none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Os preços de soja continuam com valores elevados, porém ainda com pouco volume no disponível a comercialização da safra </w:t>
      </w:r>
      <w:r>
        <w:rPr>
          <w:rFonts w:ascii="Arial" w:hAnsi="Arial" w:cs="Arial"/>
          <w:color w:val="000000" w:themeColor="text1"/>
        </w:rPr>
        <w:t xml:space="preserve">atual é de aproximadamente 60%.</w:t>
      </w:r>
      <w:r/>
    </w:p>
    <w:p>
      <w:pPr>
        <w:ind w:right="284"/>
        <w:jc w:val="both"/>
        <w:spacing w:lineRule="auto" w:line="288" w:after="0"/>
        <w:tabs>
          <w:tab w:val="left" w:pos="2977" w:leader="none"/>
          <w:tab w:val="left" w:pos="3402" w:leader="none"/>
          <w:tab w:val="left" w:pos="4678" w:leader="none"/>
        </w:tabs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</w:r>
      <w:r/>
    </w:p>
    <w:p>
      <w:pPr>
        <w:ind w:right="284"/>
        <w:jc w:val="both"/>
        <w:spacing w:lineRule="auto" w:line="288" w:after="0"/>
        <w:tabs>
          <w:tab w:val="left" w:pos="2977" w:leader="none"/>
          <w:tab w:val="left" w:pos="3402" w:leader="none"/>
          <w:tab w:val="left" w:pos="4678" w:leader="none"/>
        </w:tabs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</w:r>
      <w:r/>
    </w:p>
    <w:p>
      <w:pPr>
        <w:ind w:right="284" w:firstLine="567"/>
        <w:jc w:val="both"/>
        <w:spacing w:lineRule="auto" w:line="288" w:after="0"/>
        <w:tabs>
          <w:tab w:val="left" w:pos="2977" w:leader="none"/>
          <w:tab w:val="left" w:pos="3402" w:leader="none"/>
          <w:tab w:val="left" w:pos="4678" w:leader="none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/>
    </w:p>
    <w:p>
      <w:pPr>
        <w:pStyle w:val="200"/>
        <w:ind w:right="284"/>
        <w:spacing w:after="0"/>
        <w:rPr>
          <w:rFonts w:cs="Arial"/>
          <w:b/>
          <w:i w:val="false"/>
          <w:color w:val="003366"/>
          <w:sz w:val="22"/>
          <w:szCs w:val="22"/>
        </w:rPr>
      </w:pPr>
      <w:r>
        <w:rPr>
          <w:rFonts w:cs="Arial"/>
          <w:b/>
          <w:i w:val="false"/>
          <w:color w:val="003366"/>
          <w:sz w:val="22"/>
          <w:szCs w:val="22"/>
        </w:rPr>
        <w:t xml:space="preserve">Exportações e Importações.</w:t>
      </w:r>
      <w:r/>
    </w:p>
    <w:p>
      <w:pPr>
        <w:pStyle w:val="200"/>
        <w:ind w:right="284"/>
        <w:spacing w:after="0"/>
        <w:rPr>
          <w:rFonts w:cs="Arial"/>
          <w:b/>
          <w:i w:val="false"/>
          <w:color w:val="003366"/>
          <w:sz w:val="22"/>
          <w:szCs w:val="22"/>
        </w:rPr>
      </w:pPr>
      <w:r>
        <w:rPr>
          <w:rFonts w:cs="Arial"/>
          <w:b/>
          <w:i w:val="false"/>
          <w:color w:val="003366"/>
          <w:sz w:val="22"/>
          <w:szCs w:val="22"/>
        </w:rPr>
      </w:r>
      <w:r/>
    </w:p>
    <w:p>
      <w:pPr>
        <w:ind w:right="284" w:firstLine="567"/>
        <w:jc w:val="both"/>
        <w:spacing w:lineRule="auto" w:line="288" w:after="0"/>
        <w:tabs>
          <w:tab w:val="left" w:pos="2977" w:leader="none"/>
          <w:tab w:val="left" w:pos="3402" w:leader="none"/>
          <w:tab w:val="left" w:pos="4678" w:leader="none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Segundo a Secretaria de Comercio Exterior (Secex), </w:t>
      </w:r>
      <w:r>
        <w:rPr>
          <w:rFonts w:ascii="Arial" w:hAnsi="Arial" w:cs="Arial"/>
          <w:color w:val="000000" w:themeColor="text1"/>
        </w:rPr>
        <w:t xml:space="preserve">nos 10 primeiros dias úteis de janeiro de 2021 o Brasil exportou aproximadamente 17,5 mil toneladas de soja em grãos, no mesmo período de 2020 este número era de 1,39 milhões de toneladas.</w:t>
      </w:r>
      <w:r/>
    </w:p>
    <w:p>
      <w:pPr>
        <w:ind w:right="284" w:firstLine="567"/>
        <w:jc w:val="both"/>
        <w:spacing w:lineRule="auto" w:line="288" w:after="0"/>
        <w:tabs>
          <w:tab w:val="left" w:pos="2977" w:leader="none"/>
          <w:tab w:val="left" w:pos="3402" w:leader="none"/>
          <w:tab w:val="left" w:pos="4678" w:leader="none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/>
    </w:p>
    <w:p>
      <w:pPr>
        <w:ind w:right="284"/>
        <w:jc w:val="both"/>
        <w:spacing w:lineRule="auto" w:line="288" w:after="0"/>
        <w:tabs>
          <w:tab w:val="left" w:pos="2977" w:leader="none"/>
          <w:tab w:val="left" w:pos="3402" w:leader="none"/>
          <w:tab w:val="left" w:pos="4678" w:leader="none"/>
        </w:tabs>
        <w:rPr>
          <w:rFonts w:ascii="Arial" w:hAnsi="Arial" w:cs="Arial" w:eastAsia="Times New Roman"/>
          <w:b/>
          <w:iCs/>
          <w:color w:val="003366"/>
          <w:lang w:bidi="hi-IN" w:eastAsia="ar-SA"/>
        </w:rPr>
      </w:pPr>
      <w:r>
        <w:rPr>
          <w:rFonts w:ascii="Arial" w:hAnsi="Arial" w:cs="Arial" w:eastAsia="Times New Roman"/>
          <w:b/>
          <w:iCs/>
          <w:color w:val="003366"/>
          <w:lang w:bidi="hi-IN" w:eastAsia="ar-SA"/>
        </w:rPr>
      </w:r>
      <w:r/>
    </w:p>
    <w:p>
      <w:pPr>
        <w:ind w:right="284"/>
        <w:jc w:val="both"/>
        <w:spacing w:lineRule="auto" w:line="288" w:after="0"/>
        <w:tabs>
          <w:tab w:val="left" w:pos="2977" w:leader="none"/>
          <w:tab w:val="left" w:pos="3402" w:leader="none"/>
          <w:tab w:val="left" w:pos="4678" w:leader="none"/>
        </w:tabs>
        <w:rPr>
          <w:rFonts w:ascii="Arial" w:hAnsi="Arial" w:cs="Arial" w:eastAsia="Times New Roman"/>
          <w:b/>
          <w:iCs/>
          <w:color w:val="003366"/>
          <w:lang w:bidi="hi-IN" w:eastAsia="ar-SA"/>
        </w:rPr>
      </w:pPr>
      <w:r>
        <w:rPr>
          <w:rFonts w:ascii="Arial" w:hAnsi="Arial" w:cs="Arial" w:eastAsia="Times New Roman"/>
          <w:b/>
          <w:iCs/>
          <w:color w:val="003366"/>
          <w:lang w:bidi="hi-IN" w:eastAsia="ar-SA"/>
        </w:rPr>
        <w:t xml:space="preserve">COMENTÁRIO DO ANALISTA</w:t>
      </w:r>
      <w:r/>
    </w:p>
    <w:p>
      <w:pPr>
        <w:ind w:right="284"/>
        <w:jc w:val="both"/>
        <w:spacing w:lineRule="auto" w:line="288" w:after="0"/>
        <w:tabs>
          <w:tab w:val="left" w:pos="2977" w:leader="none"/>
          <w:tab w:val="left" w:pos="3402" w:leader="none"/>
          <w:tab w:val="left" w:pos="4678" w:leader="none"/>
        </w:tabs>
        <w:rPr>
          <w:rFonts w:ascii="Arial" w:hAnsi="Arial" w:cs="Arial" w:eastAsia="Times New Roman"/>
          <w:b/>
          <w:iCs/>
          <w:color w:val="003366"/>
          <w:lang w:bidi="hi-IN" w:eastAsia="ar-SA"/>
        </w:rPr>
      </w:pPr>
      <w:r>
        <w:rPr>
          <w:rFonts w:ascii="Arial" w:hAnsi="Arial" w:cs="Arial" w:eastAsia="Times New Roman"/>
          <w:b/>
          <w:iCs/>
          <w:color w:val="003366"/>
          <w:lang w:bidi="hi-IN" w:eastAsia="ar-SA"/>
        </w:rPr>
      </w:r>
      <w:r/>
    </w:p>
    <w:p>
      <w:pPr>
        <w:ind w:right="284"/>
        <w:jc w:val="both"/>
        <w:spacing w:lineRule="auto" w:line="288" w:after="0"/>
        <w:tabs>
          <w:tab w:val="left" w:pos="2977" w:leader="none"/>
          <w:tab w:val="left" w:pos="3402" w:leader="none"/>
          <w:tab w:val="left" w:pos="4678" w:leader="none"/>
        </w:tabs>
        <w:rPr>
          <w:rFonts w:ascii="Arial" w:hAnsi="Arial" w:cs="Arial"/>
          <w:b/>
          <w:iCs/>
          <w:color w:val="003366"/>
        </w:rPr>
      </w:pPr>
      <w:r/>
      <w:bookmarkStart w:id="0" w:name="_GoBack"/>
      <w:r>
        <w:rPr>
          <w:rFonts w:ascii="Arial" w:hAnsi="Arial" w:cs="Arial" w:eastAsia="Times New Roman"/>
          <w:b/>
          <w:iCs/>
          <w:color w:val="003366"/>
          <w:lang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68320" cy="4050288"/>
                <wp:effectExtent l="0" t="0" r="0" b="7620"/>
                <wp:docPr id="4" name="Caixa de texto 15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AdjustHandles="0" noChangeArrowheads="0"/>
                      </wps:cNvSpPr>
                      <wps:spPr bwMode="auto">
                        <a:xfrm>
                          <a:off x="0" y="0"/>
                          <a:ext cx="3068319" cy="4050288"/>
                        </a:xfrm>
                        <a:prstGeom prst="rect">
                          <a:avLst/>
                        </a:prstGeom>
                        <a:solidFill>
                          <a:srgbClr val="DBE4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right="284"/>
                              <w:jc w:val="both"/>
                              <w:spacing w:lineRule="auto" w:line="288" w:after="0"/>
                              <w:tabs>
                                <w:tab w:val="left" w:pos="2977" w:leader="none"/>
                                <w:tab w:val="left" w:pos="3402" w:leader="none"/>
                                <w:tab w:val="left" w:pos="4678" w:leader="none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Tendências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para próxima semana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</w:t>
                            </w:r>
                            <w:r/>
                          </w:p>
                          <w:p>
                            <w:pPr>
                              <w:ind w:right="284" w:firstLine="567"/>
                              <w:jc w:val="both"/>
                              <w:spacing w:lineRule="auto" w:line="288" w:after="0"/>
                              <w:tabs>
                                <w:tab w:val="left" w:pos="2977" w:leader="none"/>
                                <w:tab w:val="left" w:pos="3402" w:leader="none"/>
                                <w:tab w:val="left" w:pos="4678" w:leader="none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ind w:right="284"/>
                              <w:jc w:val="both"/>
                              <w:spacing w:lineRule="auto" w:line="288" w:after="0"/>
                              <w:tabs>
                                <w:tab w:val="left" w:pos="2977" w:leader="none"/>
                                <w:tab w:val="left" w:pos="3402" w:leader="none"/>
                                <w:tab w:val="left" w:pos="4678" w:leader="none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Mercado Internacional.</w:t>
                            </w:r>
                            <w:r/>
                          </w:p>
                          <w:p>
                            <w:pPr>
                              <w:ind w:right="284"/>
                              <w:jc w:val="both"/>
                              <w:spacing w:lineRule="auto" w:line="288" w:after="0"/>
                              <w:tabs>
                                <w:tab w:val="left" w:pos="2977" w:leader="none"/>
                                <w:tab w:val="left" w:pos="3402" w:leader="none"/>
                                <w:tab w:val="left" w:pos="4678" w:leader="none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ind w:right="284"/>
                              <w:jc w:val="both"/>
                              <w:spacing w:lineRule="auto" w:line="288" w:after="0"/>
                              <w:tabs>
                                <w:tab w:val="left" w:pos="2977" w:leader="none"/>
                                <w:tab w:val="left" w:pos="3402" w:leader="none"/>
                                <w:tab w:val="left" w:pos="4678" w:leader="none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Apesar da queda no preços CBOT desta semana, a tendência do mercado internacional é altista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ainda sob 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fundamento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dos baixos estoque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passagem dos Estados Unidos e do mundo, assim como a forte demanda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internacional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</w:t>
                            </w:r>
                            <w:r/>
                          </w:p>
                          <w:p>
                            <w:pPr>
                              <w:ind w:right="284"/>
                              <w:jc w:val="both"/>
                              <w:spacing w:lineRule="auto" w:line="288" w:after="0"/>
                              <w:tabs>
                                <w:tab w:val="left" w:pos="2977" w:leader="none"/>
                                <w:tab w:val="left" w:pos="3402" w:leader="none"/>
                                <w:tab w:val="left" w:pos="4678" w:leader="none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ind w:right="284"/>
                              <w:jc w:val="both"/>
                              <w:spacing w:lineRule="auto" w:line="288" w:after="0"/>
                              <w:tabs>
                                <w:tab w:val="left" w:pos="2977" w:leader="none"/>
                                <w:tab w:val="left" w:pos="3402" w:leader="none"/>
                                <w:tab w:val="left" w:pos="4678" w:leader="none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Prêmio de Porto.</w:t>
                            </w:r>
                            <w:r/>
                          </w:p>
                          <w:p>
                            <w:pPr>
                              <w:ind w:right="284"/>
                              <w:jc w:val="both"/>
                              <w:spacing w:lineRule="auto" w:line="288" w:after="0"/>
                              <w:tabs>
                                <w:tab w:val="left" w:pos="2977" w:leader="none"/>
                                <w:tab w:val="left" w:pos="3402" w:leader="none"/>
                                <w:tab w:val="left" w:pos="4678" w:leader="none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ind w:right="284"/>
                              <w:jc w:val="both"/>
                              <w:spacing w:lineRule="auto" w:line="288" w:after="0"/>
                              <w:tabs>
                                <w:tab w:val="left" w:pos="2977" w:leader="none"/>
                                <w:tab w:val="left" w:pos="3402" w:leader="none"/>
                                <w:tab w:val="left" w:pos="4678" w:leader="none"/>
                              </w:tabs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tendência é de que os prêmios de portos continuem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dentro ou um pouco acima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dos patamares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 média dos 5 anos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</w:t>
                            </w:r>
                            <w:r/>
                          </w:p>
                          <w:p>
                            <w:pPr>
                              <w:ind w:right="284"/>
                              <w:jc w:val="both"/>
                              <w:spacing w:lineRule="auto" w:line="288" w:after="0"/>
                              <w:tabs>
                                <w:tab w:val="left" w:pos="2977" w:leader="none"/>
                                <w:tab w:val="left" w:pos="3402" w:leader="none"/>
                                <w:tab w:val="left" w:pos="4678" w:leader="none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ind w:right="284"/>
                              <w:jc w:val="both"/>
                              <w:spacing w:lineRule="auto" w:line="288" w:after="0"/>
                              <w:tabs>
                                <w:tab w:val="left" w:pos="2977" w:leader="none"/>
                                <w:tab w:val="left" w:pos="3402" w:leader="none"/>
                                <w:tab w:val="left" w:pos="4678" w:leader="none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Mercado Nacional.</w:t>
                            </w:r>
                            <w:r/>
                          </w:p>
                          <w:p>
                            <w:pPr>
                              <w:ind w:right="284"/>
                              <w:jc w:val="both"/>
                              <w:spacing w:lineRule="auto" w:line="288" w:after="0"/>
                              <w:tabs>
                                <w:tab w:val="left" w:pos="2977" w:leader="none"/>
                                <w:tab w:val="left" w:pos="3402" w:leader="none"/>
                                <w:tab w:val="left" w:pos="4678" w:leader="none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ind w:right="284"/>
                              <w:jc w:val="both"/>
                              <w:spacing w:lineRule="auto" w:line="288" w:after="0"/>
                              <w:tabs>
                                <w:tab w:val="left" w:pos="2977" w:leader="none"/>
                                <w:tab w:val="left" w:pos="3402" w:leader="none"/>
                                <w:tab w:val="left" w:pos="4678" w:leader="none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Após a forte baixa dos preços internacionais, o preços da soja no disponível deve ter uma leve queda.</w:t>
                            </w:r>
                            <w:r/>
                          </w:p>
                          <w:p>
                            <w:pPr>
                              <w:ind w:right="284"/>
                              <w:jc w:val="both"/>
                              <w:spacing w:lineRule="auto" w:line="288" w:after="0"/>
                              <w:tabs>
                                <w:tab w:val="left" w:pos="2977" w:leader="none"/>
                                <w:tab w:val="left" w:pos="3402" w:leader="none"/>
                                <w:tab w:val="left" w:pos="4678" w:leader="none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ind w:right="284"/>
                              <w:jc w:val="both"/>
                              <w:spacing w:lineRule="auto" w:line="288" w:after="0"/>
                              <w:tabs>
                                <w:tab w:val="left" w:pos="2977" w:leader="none"/>
                                <w:tab w:val="left" w:pos="3402" w:leader="none"/>
                                <w:tab w:val="left" w:pos="4678" w:leader="none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ind w:right="284"/>
                              <w:jc w:val="both"/>
                              <w:spacing w:lineRule="auto" w:line="288" w:after="0"/>
                              <w:tabs>
                                <w:tab w:val="left" w:pos="2977" w:leader="none"/>
                                <w:tab w:val="left" w:pos="3402" w:leader="none"/>
                                <w:tab w:val="left" w:pos="4678" w:leader="none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3" o:spid="_x0000_s3" o:spt="1" style="mso-wrap-distance-left:0.0pt;mso-wrap-distance-top:0.0pt;mso-wrap-distance-right:0.0pt;mso-wrap-distance-bottom:0.0pt;width:241.6pt;height:318.9pt;v-text-anchor:top;" coordsize="100000,100000" path="" fillcolor="#DBE4F1">
                <v:path textboxrect="0,0,0,0"/>
                <v:textbox>
                  <w:txbxContent>
                    <w:p>
                      <w:pPr>
                        <w:ind w:right="284"/>
                        <w:jc w:val="both"/>
                        <w:spacing w:lineRule="auto" w:line="288" w:after="0"/>
                        <w:tabs>
                          <w:tab w:val="left" w:pos="2977" w:leader="none"/>
                          <w:tab w:val="left" w:pos="3402" w:leader="none"/>
                          <w:tab w:val="left" w:pos="4678" w:leader="none"/>
                        </w:tabs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Tendências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para próxima semana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:</w:t>
                      </w:r>
                      <w:r/>
                    </w:p>
                    <w:p>
                      <w:pPr>
                        <w:ind w:right="284" w:firstLine="567"/>
                        <w:jc w:val="both"/>
                        <w:spacing w:lineRule="auto" w:line="288" w:after="0"/>
                        <w:tabs>
                          <w:tab w:val="left" w:pos="2977" w:leader="none"/>
                          <w:tab w:val="left" w:pos="3402" w:leader="none"/>
                          <w:tab w:val="left" w:pos="4678" w:leader="none"/>
                        </w:tabs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ind w:right="284"/>
                        <w:jc w:val="both"/>
                        <w:spacing w:lineRule="auto" w:line="288" w:after="0"/>
                        <w:tabs>
                          <w:tab w:val="left" w:pos="2977" w:leader="none"/>
                          <w:tab w:val="left" w:pos="3402" w:leader="none"/>
                          <w:tab w:val="left" w:pos="4678" w:leader="none"/>
                        </w:tabs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Mercado Internacional.</w:t>
                      </w:r>
                      <w:r/>
                    </w:p>
                    <w:p>
                      <w:pPr>
                        <w:ind w:right="284"/>
                        <w:jc w:val="both"/>
                        <w:spacing w:lineRule="auto" w:line="288" w:after="0"/>
                        <w:tabs>
                          <w:tab w:val="left" w:pos="2977" w:leader="none"/>
                          <w:tab w:val="left" w:pos="3402" w:leader="none"/>
                          <w:tab w:val="left" w:pos="4678" w:leader="none"/>
                        </w:tabs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ind w:right="284"/>
                        <w:jc w:val="both"/>
                        <w:spacing w:lineRule="auto" w:line="288" w:after="0"/>
                        <w:tabs>
                          <w:tab w:val="left" w:pos="2977" w:leader="none"/>
                          <w:tab w:val="left" w:pos="3402" w:leader="none"/>
                          <w:tab w:val="left" w:pos="4678" w:leader="none"/>
                        </w:tabs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Apesar da queda no preços CBOT desta semana, a tendência do mercado internacional é altista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,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ainda sob 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fundamento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dos baixos estoque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de passagem dos Estados Unidos e do mundo, assim como a forte demanda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internacional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.</w:t>
                      </w:r>
                      <w:r/>
                    </w:p>
                    <w:p>
                      <w:pPr>
                        <w:ind w:right="284"/>
                        <w:jc w:val="both"/>
                        <w:spacing w:lineRule="auto" w:line="288" w:after="0"/>
                        <w:tabs>
                          <w:tab w:val="left" w:pos="2977" w:leader="none"/>
                          <w:tab w:val="left" w:pos="3402" w:leader="none"/>
                          <w:tab w:val="left" w:pos="4678" w:leader="none"/>
                        </w:tabs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ind w:right="284"/>
                        <w:jc w:val="both"/>
                        <w:spacing w:lineRule="auto" w:line="288" w:after="0"/>
                        <w:tabs>
                          <w:tab w:val="left" w:pos="2977" w:leader="none"/>
                          <w:tab w:val="left" w:pos="3402" w:leader="none"/>
                          <w:tab w:val="left" w:pos="4678" w:leader="none"/>
                        </w:tabs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Prêmio de Porto.</w:t>
                      </w:r>
                      <w:r/>
                    </w:p>
                    <w:p>
                      <w:pPr>
                        <w:ind w:right="284"/>
                        <w:jc w:val="both"/>
                        <w:spacing w:lineRule="auto" w:line="288" w:after="0"/>
                        <w:tabs>
                          <w:tab w:val="left" w:pos="2977" w:leader="none"/>
                          <w:tab w:val="left" w:pos="3402" w:leader="none"/>
                          <w:tab w:val="left" w:pos="4678" w:leader="none"/>
                        </w:tabs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ind w:right="284"/>
                        <w:jc w:val="both"/>
                        <w:spacing w:lineRule="auto" w:line="288" w:after="0"/>
                        <w:tabs>
                          <w:tab w:val="left" w:pos="2977" w:leader="none"/>
                          <w:tab w:val="left" w:pos="3402" w:leader="none"/>
                          <w:tab w:val="left" w:pos="4678" w:leader="none"/>
                        </w:tabs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 tendência é de que os prêmios de portos continuem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dentro ou um pouco acima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dos patamares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da média dos 5 anos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.</w:t>
                      </w:r>
                      <w:r/>
                    </w:p>
                    <w:p>
                      <w:pPr>
                        <w:ind w:right="284"/>
                        <w:jc w:val="both"/>
                        <w:spacing w:lineRule="auto" w:line="288" w:after="0"/>
                        <w:tabs>
                          <w:tab w:val="left" w:pos="2977" w:leader="none"/>
                          <w:tab w:val="left" w:pos="3402" w:leader="none"/>
                          <w:tab w:val="left" w:pos="4678" w:leader="none"/>
                        </w:tabs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ind w:right="284"/>
                        <w:jc w:val="both"/>
                        <w:spacing w:lineRule="auto" w:line="288" w:after="0"/>
                        <w:tabs>
                          <w:tab w:val="left" w:pos="2977" w:leader="none"/>
                          <w:tab w:val="left" w:pos="3402" w:leader="none"/>
                          <w:tab w:val="left" w:pos="4678" w:leader="none"/>
                        </w:tabs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Mercado Nacional.</w:t>
                      </w:r>
                      <w:r/>
                    </w:p>
                    <w:p>
                      <w:pPr>
                        <w:ind w:right="284"/>
                        <w:jc w:val="both"/>
                        <w:spacing w:lineRule="auto" w:line="288" w:after="0"/>
                        <w:tabs>
                          <w:tab w:val="left" w:pos="2977" w:leader="none"/>
                          <w:tab w:val="left" w:pos="3402" w:leader="none"/>
                          <w:tab w:val="left" w:pos="4678" w:leader="none"/>
                        </w:tabs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ind w:right="284"/>
                        <w:jc w:val="both"/>
                        <w:spacing w:lineRule="auto" w:line="288" w:after="0"/>
                        <w:tabs>
                          <w:tab w:val="left" w:pos="2977" w:leader="none"/>
                          <w:tab w:val="left" w:pos="3402" w:leader="none"/>
                          <w:tab w:val="left" w:pos="4678" w:leader="none"/>
                        </w:tabs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Após a forte baixa dos preços internacionais, o preços da soja no disponível deve ter uma leve queda.</w:t>
                      </w:r>
                      <w:r/>
                    </w:p>
                    <w:p>
                      <w:pPr>
                        <w:ind w:right="284"/>
                        <w:jc w:val="both"/>
                        <w:spacing w:lineRule="auto" w:line="288" w:after="0"/>
                        <w:tabs>
                          <w:tab w:val="left" w:pos="2977" w:leader="none"/>
                          <w:tab w:val="left" w:pos="3402" w:leader="none"/>
                          <w:tab w:val="left" w:pos="4678" w:leader="none"/>
                        </w:tabs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ind w:right="284"/>
                        <w:jc w:val="both"/>
                        <w:spacing w:lineRule="auto" w:line="288" w:after="0"/>
                        <w:tabs>
                          <w:tab w:val="left" w:pos="2977" w:leader="none"/>
                          <w:tab w:val="left" w:pos="3402" w:leader="none"/>
                          <w:tab w:val="left" w:pos="4678" w:leader="none"/>
                        </w:tabs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ind w:right="284"/>
                        <w:jc w:val="both"/>
                        <w:spacing w:lineRule="auto" w:line="288" w:after="0"/>
                        <w:tabs>
                          <w:tab w:val="left" w:pos="2977" w:leader="none"/>
                          <w:tab w:val="left" w:pos="3402" w:leader="none"/>
                          <w:tab w:val="left" w:pos="4678" w:leader="none"/>
                        </w:tabs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bookmarkEnd w:id="0"/>
      <w:r/>
      <w:r/>
    </w:p>
    <w:sectPr>
      <w:footnotePr/>
      <w:type w:val="continuous"/>
      <w:pgSz w:w="11906" w:h="16838" w:orient="portrait"/>
      <w:pgMar w:top="1418" w:right="282" w:bottom="1418" w:left="567" w:header="709" w:footer="454" w:gutter="0"/>
      <w:cols w:num="2" w:sep="0" w:space="709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Symbol">
    <w:panose1 w:val="05010000000000000000"/>
  </w:font>
  <w:font w:name="Calibri Light">
    <w:panose1 w:val="020F0302020204030203"/>
  </w:font>
  <w:font w:name="FS Me">
    <w:panose1 w:val="02060803050605020204"/>
  </w:font>
  <w:font w:name="SimSun">
    <w:panose1 w:val="02020603020101020101"/>
  </w:font>
  <w:font w:name="Segoe UI">
    <w:panose1 w:val="020B0502040504020204"/>
  </w:font>
  <w:font w:name="Wingdings">
    <w:panose1 w:val="05030102010509060703"/>
  </w:font>
  <w:font w:name="Courier New">
    <w:panose1 w:val="02070309020205020404"/>
  </w:font>
  <w:font w:name="Mangal">
    <w:panose1 w:val="02040502050405020303"/>
  </w:font>
  <w:font w:name="Liberation Serif">
    <w:panose1 w:val="020208030705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>
      <w:rPr>
        <w:rFonts w:ascii="Arial" w:hAnsi="Arial" w:cs="Arial"/>
        <w:color w:val="003366"/>
        <w:sz w:val="16"/>
      </w:rPr>
      <w:t xml:space="preserve">Leonardo Amazonas</w:t>
    </w:r>
    <w:r>
      <w:rPr>
        <w:rFonts w:ascii="Arial" w:hAnsi="Arial" w:cs="Arial"/>
        <w:color w:val="003366"/>
        <w:sz w:val="16"/>
      </w:rPr>
      <w:t xml:space="preserve"> – Analista de Mercado</w:t>
    </w:r>
    <w:r>
      <w:rPr>
        <w:rFonts w:ascii="Arial" w:hAnsi="Arial" w:cs="Arial"/>
        <w:color w:val="003366"/>
        <w:sz w:val="16"/>
      </w:rPr>
      <w:tab/>
      <w:t xml:space="preserve">E-mail:</w:t>
    </w:r>
    <w:r>
      <w:rPr>
        <w:rFonts w:ascii="Arial" w:hAnsi="Arial" w:cs="Arial"/>
        <w:color w:val="003366"/>
        <w:sz w:val="16"/>
      </w:rPr>
      <w:t xml:space="preserve"> </w:t>
    </w:r>
    <w:r>
      <w:rPr>
        <w:rFonts w:ascii="Arial" w:hAnsi="Arial" w:cs="Arial"/>
        <w:color w:val="003366"/>
        <w:sz w:val="16"/>
      </w:rPr>
      <w:t xml:space="preserve">Leonardo.amazonas</w:t>
    </w:r>
    <w:r>
      <w:rPr>
        <w:rFonts w:ascii="Arial" w:hAnsi="Arial" w:cs="Arial"/>
        <w:color w:val="003366"/>
        <w:sz w:val="16"/>
      </w:rPr>
      <w:t xml:space="preserve">@conab.gov.br</w:t>
    </w:r>
    <w:r>
      <w:rPr>
        <w:rFonts w:ascii="Arial" w:hAnsi="Arial" w:cs="Arial"/>
        <w:color w:val="003366"/>
        <w:sz w:val="16"/>
      </w:rPr>
      <w:tab/>
    </w:r>
    <w:r>
      <w:rPr>
        <w:rFonts w:ascii="Arial" w:hAnsi="Arial" w:cs="Arial"/>
        <w:color w:val="003366"/>
        <w:sz w:val="16"/>
      </w:rPr>
      <w:t xml:space="preserve">Tel</w:t>
    </w:r>
    <w:r>
      <w:rPr>
        <w:rFonts w:ascii="Arial" w:hAnsi="Arial" w:cs="Arial"/>
        <w:color w:val="003366"/>
        <w:sz w:val="16"/>
      </w:rPr>
      <w:t xml:space="preserve">: (61) 3312-</w:t>
    </w:r>
    <w:r>
      <w:rPr>
        <w:rFonts w:ascii="Arial" w:hAnsi="Arial" w:cs="Arial"/>
        <w:color w:val="003366"/>
        <w:sz w:val="16"/>
      </w:rPr>
      <w:t xml:space="preserve">2236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5"/>
      <w:rPr>
        <w:sz w:val="20"/>
        <w:szCs w:val="20"/>
      </w:rPr>
    </w:pPr>
    <w:r>
      <w:rPr>
        <w:sz w:val="20"/>
        <w:szCs w:val="20"/>
        <w:lang w:eastAsia="pt-BR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7216" behindDoc="1" locked="0" layoutInCell="1" allowOverlap="1">
              <wp:simplePos x="0" y="0"/>
              <wp:positionH relativeFrom="column">
                <wp:posOffset>-368176</wp:posOffset>
              </wp:positionH>
              <wp:positionV relativeFrom="paragraph">
                <wp:posOffset>-467995</wp:posOffset>
              </wp:positionV>
              <wp:extent cx="7397231" cy="10745066"/>
              <wp:effectExtent l="0" t="0" r="0" b="0"/>
              <wp:wrapNone/>
              <wp:docPr id="1" name="Imagem 5" descr="modelo b para conjunturas semanais-03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m 18" descr="modelo b para conjunturas semanais-03" hidden="0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397231" cy="107450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7216;o:allowoverlap:true;o:allowincell:true;mso-position-horizontal-relative:text;margin-left:-29.0pt;mso-position-horizontal:absolute;mso-position-vertical-relative:text;margin-top:-36.9pt;mso-position-vertical:absolute;width:582.5pt;height:846.1pt;">
              <v:path textboxrect="0,0,0,0"/>
              <v:imagedata r:id="rId1" o:title=""/>
            </v:shape>
          </w:pict>
        </mc:Fallback>
      </mc:AlternateContent>
    </w:r>
    <w:r/>
  </w:p>
  <w:p>
    <w:pPr>
      <w:pStyle w:val="195"/>
      <w:jc w:val="center"/>
      <w:rPr>
        <w:sz w:val="20"/>
        <w:szCs w:val="20"/>
      </w:rPr>
    </w:pPr>
    <w:r>
      <w:rPr>
        <w:sz w:val="20"/>
        <w:szCs w:val="20"/>
      </w:rPr>
    </w:r>
    <w:r/>
  </w:p>
  <w:p>
    <w:pPr>
      <w:pStyle w:val="195"/>
      <w:rPr>
        <w:sz w:val="20"/>
        <w:szCs w:val="20"/>
      </w:rPr>
    </w:pPr>
    <w:r>
      <w:rPr>
        <w:sz w:val="20"/>
        <w:szCs w:val="20"/>
      </w:rPr>
    </w:r>
    <w:r/>
  </w:p>
  <w:p>
    <w:pPr>
      <w:pStyle w:val="195"/>
      <w:tabs>
        <w:tab w:val="clear" w:pos="4252" w:leader="none"/>
        <w:tab w:val="left" w:pos="6100" w:leader="none"/>
        <w:tab w:val="clear" w:pos="8504" w:leader="none"/>
      </w:tabs>
      <w:rPr>
        <w:sz w:val="20"/>
        <w:szCs w:val="20"/>
      </w:rPr>
    </w:pPr>
    <w:r>
      <w:rPr>
        <w:sz w:val="20"/>
        <w:szCs w:val="20"/>
      </w:rPr>
      <w:tab/>
    </w:r>
    <w:r/>
  </w:p>
  <w:p>
    <w:pPr>
      <w:pStyle w:val="195"/>
      <w:ind w:firstLine="708"/>
      <w:tabs>
        <w:tab w:val="left" w:pos="2025" w:leader="none"/>
        <w:tab w:val="clear" w:pos="4252" w:leader="none"/>
        <w:tab w:val="clear" w:pos="8504" w:leader="none"/>
        <w:tab w:val="right" w:pos="10772" w:leader="none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-"/>
      <w:lvlJc w:val="left"/>
      <w:pPr>
        <w:ind w:left="720" w:hanging="360"/>
      </w:pPr>
      <w:rPr>
        <w:rFonts w:hint="default"/>
        <w:b w:val="false"/>
        <w:i/>
        <w:color w:val="555555"/>
        <w:sz w:val="20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-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647" w:hanging="360"/>
      </w:pPr>
    </w:lvl>
    <w:lvl w:ilvl="2">
      <w:start w:val="1"/>
      <w:numFmt w:val="lowerRoman"/>
      <w:suff w:val="tab"/>
      <w:lvlText w:val="%3."/>
      <w:lvlJc w:val="right"/>
      <w:pPr>
        <w:ind w:left="2367" w:hanging="180"/>
      </w:pPr>
    </w:lvl>
    <w:lvl w:ilvl="3">
      <w:start w:val="1"/>
      <w:numFmt w:val="decimal"/>
      <w:suff w:val="tab"/>
      <w:lvlText w:val="%4."/>
      <w:lvlJc w:val="left"/>
      <w:pPr>
        <w:ind w:left="3087" w:hanging="360"/>
      </w:pPr>
    </w:lvl>
    <w:lvl w:ilvl="4">
      <w:start w:val="1"/>
      <w:numFmt w:val="lowerLetter"/>
      <w:suff w:val="tab"/>
      <w:lvlText w:val="%5."/>
      <w:lvlJc w:val="left"/>
      <w:pPr>
        <w:ind w:left="3807" w:hanging="360"/>
      </w:pPr>
    </w:lvl>
    <w:lvl w:ilvl="5">
      <w:start w:val="1"/>
      <w:numFmt w:val="lowerRoman"/>
      <w:suff w:val="tab"/>
      <w:lvlText w:val="%6."/>
      <w:lvlJc w:val="right"/>
      <w:pPr>
        <w:ind w:left="4527" w:hanging="180"/>
      </w:pPr>
    </w:lvl>
    <w:lvl w:ilvl="6">
      <w:start w:val="1"/>
      <w:numFmt w:val="decimal"/>
      <w:suff w:val="tab"/>
      <w:lvlText w:val="%7."/>
      <w:lvlJc w:val="left"/>
      <w:pPr>
        <w:ind w:left="5247" w:hanging="360"/>
      </w:pPr>
    </w:lvl>
    <w:lvl w:ilvl="7">
      <w:start w:val="1"/>
      <w:numFmt w:val="lowerLetter"/>
      <w:suff w:val="tab"/>
      <w:lvlText w:val="%8."/>
      <w:lvlJc w:val="left"/>
      <w:pPr>
        <w:ind w:left="5967" w:hanging="360"/>
      </w:pPr>
    </w:lvl>
    <w:lvl w:ilvl="8">
      <w:start w:val="1"/>
      <w:numFmt w:val="lowerRoman"/>
      <w:suff w:val="tab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pt-BR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192"/>
    <w:link w:val="19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190"/>
    <w:next w:val="19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19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190"/>
    <w:next w:val="19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19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190"/>
    <w:next w:val="19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19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190"/>
    <w:next w:val="19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19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190"/>
    <w:next w:val="19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19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90"/>
    <w:next w:val="19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9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90"/>
    <w:next w:val="19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9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90"/>
    <w:next w:val="19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9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190"/>
    <w:next w:val="19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192"/>
    <w:link w:val="32"/>
    <w:uiPriority w:val="10"/>
    <w:rPr>
      <w:sz w:val="48"/>
      <w:szCs w:val="48"/>
    </w:rPr>
  </w:style>
  <w:style w:type="paragraph" w:styleId="34">
    <w:name w:val="Subtitle"/>
    <w:basedOn w:val="190"/>
    <w:next w:val="19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192"/>
    <w:link w:val="34"/>
    <w:uiPriority w:val="11"/>
    <w:rPr>
      <w:sz w:val="24"/>
      <w:szCs w:val="24"/>
    </w:rPr>
  </w:style>
  <w:style w:type="paragraph" w:styleId="36">
    <w:name w:val="Quote"/>
    <w:basedOn w:val="190"/>
    <w:next w:val="19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90"/>
    <w:next w:val="190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192"/>
    <w:link w:val="195"/>
    <w:uiPriority w:val="99"/>
  </w:style>
  <w:style w:type="character" w:styleId="43">
    <w:name w:val="Footer Char"/>
    <w:basedOn w:val="192"/>
    <w:link w:val="197"/>
    <w:uiPriority w:val="99"/>
  </w:style>
  <w:style w:type="table" w:styleId="44">
    <w:name w:val="Table Grid"/>
    <w:basedOn w:val="19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paragraph" w:styleId="67">
    <w:name w:val="footnote text"/>
    <w:basedOn w:val="19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92"/>
    <w:uiPriority w:val="99"/>
    <w:unhideWhenUsed/>
    <w:rPr>
      <w:vertAlign w:val="superscript"/>
    </w:rPr>
  </w:style>
  <w:style w:type="paragraph" w:styleId="70">
    <w:name w:val="toc 1"/>
    <w:basedOn w:val="190"/>
    <w:next w:val="190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90"/>
    <w:next w:val="190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90"/>
    <w:next w:val="190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90"/>
    <w:next w:val="190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90"/>
    <w:next w:val="190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90"/>
    <w:next w:val="190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90"/>
    <w:next w:val="190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90"/>
    <w:next w:val="190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90"/>
    <w:next w:val="190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90" w:default="1">
    <w:name w:val="Normal"/>
    <w:qFormat/>
  </w:style>
  <w:style w:type="paragraph" w:styleId="191">
    <w:name w:val="Heading 1"/>
    <w:basedOn w:val="190"/>
    <w:link w:val="218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pt-BR"/>
    </w:rPr>
    <w:pPr>
      <w:spacing w:lineRule="auto" w:line="240" w:after="100" w:afterAutospacing="1" w:before="100" w:beforeAutospacing="1"/>
      <w:outlineLvl w:val="0"/>
    </w:pPr>
  </w:style>
  <w:style w:type="character" w:styleId="192" w:default="1">
    <w:name w:val="Default Paragraph Font"/>
    <w:uiPriority w:val="1"/>
    <w:semiHidden/>
    <w:unhideWhenUsed/>
  </w:style>
  <w:style w:type="table" w:styleId="1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94" w:default="1">
    <w:name w:val="No List"/>
    <w:uiPriority w:val="99"/>
    <w:semiHidden/>
    <w:unhideWhenUsed/>
  </w:style>
  <w:style w:type="paragraph" w:styleId="195">
    <w:name w:val="Header"/>
    <w:basedOn w:val="190"/>
    <w:link w:val="196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196" w:customStyle="1">
    <w:name w:val="Cabeçalho Char"/>
    <w:basedOn w:val="192"/>
    <w:link w:val="195"/>
    <w:uiPriority w:val="99"/>
  </w:style>
  <w:style w:type="paragraph" w:styleId="197">
    <w:name w:val="Footer"/>
    <w:basedOn w:val="190"/>
    <w:link w:val="198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198" w:customStyle="1">
    <w:name w:val="Rodapé Char"/>
    <w:basedOn w:val="192"/>
    <w:link w:val="197"/>
    <w:uiPriority w:val="99"/>
  </w:style>
  <w:style w:type="paragraph" w:styleId="199">
    <w:name w:val="No Spacing"/>
    <w:qFormat/>
    <w:uiPriority w:val="1"/>
    <w:pPr>
      <w:spacing w:lineRule="auto" w:line="240" w:after="0"/>
    </w:pPr>
  </w:style>
  <w:style w:type="paragraph" w:styleId="200" w:customStyle="1">
    <w:name w:val="WW-Legenda1111111111111111111111111111111111111111111111111111111111111111111111111111111111111111"/>
    <w:basedOn w:val="190"/>
    <w:rPr>
      <w:rFonts w:ascii="Arial" w:hAnsi="Arial" w:cs="Mangal" w:eastAsia="Times New Roman"/>
      <w:i/>
      <w:iCs/>
      <w:sz w:val="20"/>
      <w:szCs w:val="20"/>
      <w:lang w:bidi="hi-IN" w:eastAsia="ar-SA"/>
    </w:rPr>
    <w:pPr>
      <w:spacing w:lineRule="auto" w:line="240" w:after="120" w:before="120"/>
    </w:pPr>
  </w:style>
  <w:style w:type="paragraph" w:styleId="201">
    <w:name w:val="Balloon Text"/>
    <w:basedOn w:val="190"/>
    <w:link w:val="202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202" w:customStyle="1">
    <w:name w:val="Texto de balão Char"/>
    <w:basedOn w:val="192"/>
    <w:link w:val="201"/>
    <w:uiPriority w:val="99"/>
    <w:semiHidden/>
    <w:rPr>
      <w:rFonts w:ascii="Segoe UI" w:hAnsi="Segoe UI" w:cs="Segoe UI"/>
      <w:sz w:val="18"/>
      <w:szCs w:val="18"/>
    </w:rPr>
  </w:style>
  <w:style w:type="paragraph" w:styleId="203">
    <w:name w:val="Body Text"/>
    <w:basedOn w:val="190"/>
    <w:link w:val="204"/>
    <w:semiHidden/>
    <w:rPr>
      <w:rFonts w:ascii="Liberation Serif" w:hAnsi="Liberation Serif" w:cs="Mangal" w:eastAsia="SimSun"/>
      <w:sz w:val="24"/>
      <w:szCs w:val="24"/>
      <w:lang w:bidi="hi-IN" w:eastAsia="zh-CN"/>
    </w:rPr>
    <w:pPr>
      <w:spacing w:lineRule="auto" w:line="288" w:after="140"/>
      <w:widowControl w:val="off"/>
    </w:pPr>
  </w:style>
  <w:style w:type="character" w:styleId="204" w:customStyle="1">
    <w:name w:val="Corpo de texto Char"/>
    <w:basedOn w:val="192"/>
    <w:link w:val="203"/>
    <w:semiHidden/>
    <w:rPr>
      <w:rFonts w:ascii="Liberation Serif" w:hAnsi="Liberation Serif" w:cs="Mangal" w:eastAsia="SimSun"/>
      <w:sz w:val="24"/>
      <w:szCs w:val="24"/>
      <w:lang w:bidi="hi-IN" w:eastAsia="zh-CN"/>
    </w:rPr>
  </w:style>
  <w:style w:type="character" w:styleId="205" w:customStyle="1">
    <w:name w:val="wT32"/>
    <w:rPr>
      <w:b/>
      <w:bCs w:val="false"/>
    </w:rPr>
  </w:style>
  <w:style w:type="paragraph" w:styleId="206">
    <w:name w:val="Normal (Web)"/>
    <w:basedOn w:val="190"/>
    <w:uiPriority w:val="99"/>
    <w:unhideWhenUsed/>
    <w:rPr>
      <w:rFonts w:ascii="Times New Roman" w:hAnsi="Times New Roman" w:cs="Times New Roman" w:eastAsia="Times New Roman"/>
      <w:sz w:val="24"/>
      <w:szCs w:val="24"/>
      <w:lang w:eastAsia="pt-BR"/>
    </w:rPr>
    <w:pPr>
      <w:spacing w:lineRule="auto" w:line="240" w:after="100" w:afterAutospacing="1" w:before="100" w:beforeAutospacing="1"/>
    </w:pPr>
  </w:style>
  <w:style w:type="paragraph" w:styleId="207" w:customStyle="1">
    <w:name w:val="Corpo do texto"/>
    <w:basedOn w:val="190"/>
    <w:semiHidden/>
    <w:rPr>
      <w:rFonts w:ascii="Liberation Serif" w:hAnsi="Liberation Serif" w:cs="Mangal" w:eastAsia="SimSun"/>
      <w:sz w:val="24"/>
      <w:szCs w:val="24"/>
      <w:lang w:bidi="hi-IN" w:eastAsia="zh-CN"/>
    </w:rPr>
    <w:pPr>
      <w:spacing w:lineRule="auto" w:line="288" w:after="140"/>
      <w:widowControl w:val="off"/>
    </w:pPr>
  </w:style>
  <w:style w:type="paragraph" w:styleId="208" w:customStyle="1">
    <w:name w:val="CONJ_TÍTULO 1"/>
    <w:basedOn w:val="200"/>
    <w:link w:val="210"/>
    <w:qFormat/>
    <w:rPr>
      <w:rFonts w:cs="Arial"/>
      <w:b/>
      <w:i w:val="false"/>
      <w:caps/>
      <w:color w:val="003366"/>
      <w:sz w:val="18"/>
    </w:rPr>
  </w:style>
  <w:style w:type="paragraph" w:styleId="209" w:customStyle="1">
    <w:name w:val="CONJ_TEXTO"/>
    <w:basedOn w:val="190"/>
    <w:link w:val="211"/>
    <w:qFormat/>
    <w:rPr>
      <w:rFonts w:ascii="Arial" w:hAnsi="Arial" w:cs="Arial"/>
      <w:sz w:val="18"/>
      <w:szCs w:val="18"/>
    </w:rPr>
    <w:pPr>
      <w:jc w:val="both"/>
      <w:spacing w:lineRule="auto" w:line="288"/>
      <w:tabs>
        <w:tab w:val="left" w:pos="2977" w:leader="none"/>
        <w:tab w:val="left" w:pos="3402" w:leader="none"/>
      </w:tabs>
    </w:pPr>
  </w:style>
  <w:style w:type="character" w:styleId="210" w:customStyle="1">
    <w:name w:val="CONJ_TÍTULO 1 Char"/>
    <w:basedOn w:val="192"/>
    <w:link w:val="208"/>
    <w:rPr>
      <w:rFonts w:ascii="Arial" w:hAnsi="Arial" w:cs="Arial" w:eastAsia="Times New Roman"/>
      <w:b/>
      <w:iCs/>
      <w:caps/>
      <w:color w:val="003366"/>
      <w:sz w:val="18"/>
      <w:szCs w:val="20"/>
      <w:lang w:bidi="hi-IN" w:eastAsia="ar-SA"/>
    </w:rPr>
  </w:style>
  <w:style w:type="character" w:styleId="211" w:customStyle="1">
    <w:name w:val="CONJ_TEXTO Char"/>
    <w:basedOn w:val="192"/>
    <w:link w:val="209"/>
    <w:rPr>
      <w:rFonts w:ascii="Arial" w:hAnsi="Arial" w:cs="Arial"/>
      <w:sz w:val="18"/>
      <w:szCs w:val="18"/>
    </w:rPr>
  </w:style>
  <w:style w:type="character" w:styleId="212">
    <w:name w:val="Emphasis"/>
    <w:qFormat/>
    <w:uiPriority w:val="20"/>
    <w:rPr>
      <w:i/>
      <w:iCs/>
    </w:rPr>
  </w:style>
  <w:style w:type="paragraph" w:styleId="213">
    <w:name w:val="List Paragraph"/>
    <w:basedOn w:val="190"/>
    <w:qFormat/>
    <w:uiPriority w:val="34"/>
    <w:pPr>
      <w:contextualSpacing w:val="true"/>
      <w:ind w:left="720"/>
    </w:pPr>
  </w:style>
  <w:style w:type="paragraph" w:styleId="214">
    <w:name w:val="HTML Preformatted"/>
    <w:basedOn w:val="190"/>
    <w:link w:val="215"/>
    <w:uiPriority w:val="99"/>
    <w:unhideWhenUsed/>
    <w:rPr>
      <w:rFonts w:ascii="Courier New" w:hAnsi="Courier New" w:cs="Courier New" w:eastAsia="Times New Roman"/>
      <w:sz w:val="20"/>
      <w:szCs w:val="20"/>
      <w:lang w:eastAsia="pt-BR"/>
    </w:rPr>
    <w:pPr>
      <w:spacing w:lineRule="auto" w:line="240" w:after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215" w:customStyle="1">
    <w:name w:val="Pré-formatação HTML Char"/>
    <w:basedOn w:val="192"/>
    <w:link w:val="214"/>
    <w:uiPriority w:val="99"/>
    <w:rPr>
      <w:rFonts w:ascii="Courier New" w:hAnsi="Courier New" w:cs="Courier New" w:eastAsia="Times New Roman"/>
      <w:sz w:val="20"/>
      <w:szCs w:val="20"/>
      <w:lang w:eastAsia="pt-BR"/>
    </w:rPr>
  </w:style>
  <w:style w:type="character" w:styleId="216">
    <w:name w:val="Hyperlink"/>
    <w:basedOn w:val="192"/>
    <w:uiPriority w:val="99"/>
    <w:unhideWhenUsed/>
    <w:rPr>
      <w:color w:val="0000FF"/>
      <w:u w:val="single"/>
    </w:rPr>
  </w:style>
  <w:style w:type="paragraph" w:styleId="217" w:customStyle="1">
    <w:name w:val="Default"/>
    <w:rPr>
      <w:rFonts w:ascii="FS Me" w:hAnsi="FS Me" w:cs="FS Me"/>
      <w:color w:val="000000"/>
      <w:sz w:val="24"/>
      <w:szCs w:val="24"/>
    </w:rPr>
    <w:pPr>
      <w:spacing w:lineRule="auto" w:line="240" w:after="0"/>
    </w:pPr>
  </w:style>
  <w:style w:type="character" w:styleId="218" w:customStyle="1">
    <w:name w:val="Título 1 Char"/>
    <w:basedOn w:val="192"/>
    <w:link w:val="191"/>
    <w:uiPriority w:val="9"/>
    <w:rPr>
      <w:rFonts w:ascii="Times New Roman" w:hAnsi="Times New Roman" w:cs="Times New Roman" w:eastAsia="Times New Roman"/>
      <w:b/>
      <w:bCs/>
      <w:sz w:val="48"/>
      <w:szCs w:val="48"/>
      <w:lang w:eastAsia="pt-BR"/>
    </w:rPr>
  </w:style>
  <w:style w:type="character" w:styleId="219" w:customStyle="1">
    <w:name w:val="Título 6 Char"/>
    <w:semiHidden/>
    <w:rPr>
      <w:rFonts w:ascii="Calibri Light" w:hAnsi="Calibri Light" w:cs="Times New Roman" w:eastAsia="Times New Roman"/>
      <w:i/>
      <w:iCs/>
      <w:color w:val="44546A"/>
      <w:sz w:val="21"/>
      <w:szCs w:val="2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s://www.conab.gov.br/info-agro/safras/progresso-de-safra" TargetMode="External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onlyoffice/5.3.0.243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AMAZONAS</dc:creator>
  <cp:lastModifiedBy>GABRIEL RABELLO CORREA</cp:lastModifiedBy>
  <cp:revision>227</cp:revision>
  <dcterms:created xsi:type="dcterms:W3CDTF">2020-03-09T14:32:00Z</dcterms:created>
  <dcterms:modified xsi:type="dcterms:W3CDTF">2021-01-25T14:06:08Z</dcterms:modified>
</cp:coreProperties>
</file>